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7D69" w14:textId="77777777" w:rsidR="009239F7" w:rsidRPr="002F6A28" w:rsidRDefault="009C36D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BC52738" w14:textId="77777777" w:rsidR="009239F7" w:rsidRPr="002F6A28" w:rsidRDefault="009C36D2" w:rsidP="002F6A28">
      <w:pPr>
        <w:jc w:val="center"/>
      </w:pPr>
      <w:r w:rsidRPr="002F6A28">
        <w:t>The following notification is being circulated in accordance with Article 10.6</w:t>
      </w:r>
    </w:p>
    <w:p w14:paraId="157E75C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25647" w14:paraId="07C76D1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F78EC05" w14:textId="77777777" w:rsidR="00F85C99" w:rsidRPr="002F6A28" w:rsidRDefault="009C36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D035368" w14:textId="77777777" w:rsidR="00F85C99" w:rsidRPr="002F6A28" w:rsidRDefault="009C36D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13A3A396" w14:textId="77777777" w:rsidR="00F85C99" w:rsidRPr="002F6A28" w:rsidRDefault="009C36D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25647" w14:paraId="5A9861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FC1CD" w14:textId="77777777" w:rsidR="00F85C99" w:rsidRPr="002F6A28" w:rsidRDefault="009C36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A97C8" w14:textId="77777777" w:rsidR="00F85C99" w:rsidRPr="002F6A28" w:rsidRDefault="009C36D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008DCA59" w14:textId="77777777" w:rsidR="00F85C99" w:rsidRPr="002F6A28" w:rsidRDefault="009C36D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25647" w14:paraId="65C8BD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EC87F" w14:textId="77777777" w:rsidR="00F85C99" w:rsidRPr="002F6A28" w:rsidRDefault="009C36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E809B" w14:textId="77777777" w:rsidR="00F85C99" w:rsidRPr="0058336F" w:rsidRDefault="009C36D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25647" w14:paraId="7B93CA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20BFE7" w14:textId="77777777" w:rsidR="00F85C99" w:rsidRPr="002F6A28" w:rsidRDefault="009C36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EF402" w14:textId="77777777" w:rsidR="00F85C99" w:rsidRPr="002F6A28" w:rsidRDefault="009C36D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525647" w14:paraId="77DA38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EEE58" w14:textId="77777777" w:rsidR="00F85C99" w:rsidRPr="002F6A28" w:rsidRDefault="009C36D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9AA5DE" w14:textId="77777777" w:rsidR="00F85C99" w:rsidRPr="002F6A28" w:rsidRDefault="009C36D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 w:rsidR="000E42BB">
              <w:t> </w:t>
            </w:r>
            <w:r w:rsidR="00EE3A11" w:rsidRPr="00C379C8">
              <w:t>1055:2021 Water based undercoat — Specification (7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25647" w14:paraId="1A03E9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CB9CF" w14:textId="77777777" w:rsidR="00F85C99" w:rsidRPr="002F6A28" w:rsidRDefault="009C36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0E37C" w14:textId="77777777" w:rsidR="00F85C99" w:rsidRPr="002F6A28" w:rsidRDefault="009C36D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water based undercoat used on buildings after surface preparation and priming wherever necessary</w:t>
            </w:r>
          </w:p>
        </w:tc>
      </w:tr>
      <w:tr w:rsidR="00525647" w14:paraId="0FC489C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2A194" w14:textId="77777777" w:rsidR="00F85C99" w:rsidRPr="002F6A28" w:rsidRDefault="009C36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D6C68" w14:textId="77777777" w:rsidR="00F85C99" w:rsidRPr="002F6A28" w:rsidRDefault="009C36D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Reducing trade barriers and facilitating trade</w:t>
            </w:r>
            <w:bookmarkStart w:id="27" w:name="sps7f"/>
            <w:bookmarkEnd w:id="27"/>
          </w:p>
        </w:tc>
      </w:tr>
      <w:tr w:rsidR="00525647" w14:paraId="06DDD0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E57EE5" w14:textId="77777777" w:rsidR="00F85C99" w:rsidRPr="002F6A28" w:rsidRDefault="009C36D2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1B922" w14:textId="77777777" w:rsidR="00072B36" w:rsidRPr="002F6A28" w:rsidRDefault="009C36D2" w:rsidP="000E42BB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6068320E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1524, Paints, varnishes and printing ink — Determination of fineness of grind</w:t>
            </w:r>
          </w:p>
          <w:p w14:paraId="185538BA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2812-1, Paints and varnishes — Determination of resistance to liquids — Part</w:t>
            </w:r>
            <w:r w:rsidR="000E42BB">
              <w:rPr>
                <w:bCs/>
              </w:rPr>
              <w:t> </w:t>
            </w:r>
            <w:r w:rsidRPr="002F6A28">
              <w:rPr>
                <w:bCs/>
              </w:rPr>
              <w:t>1: Immersion in liquids other than water</w:t>
            </w:r>
          </w:p>
          <w:p w14:paraId="186DF1CB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2884-2, Paints and varnishes — Determination of viscosity using rotary viscometers — Part 2: Disc or ball viscometer operated at a specified speed</w:t>
            </w:r>
          </w:p>
          <w:p w14:paraId="4CE1B164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14:paraId="095F2F76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3856-6, Paints and varnishes — Determination of "soluble" metal content — Part 6: Determination of total chromium content of the liquid portion of the paint — Flame atomic absorption spectrometric method</w:t>
            </w:r>
          </w:p>
          <w:p w14:paraId="23AC6516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4618, Paints and varnishes — Terms and definitions</w:t>
            </w:r>
          </w:p>
          <w:p w14:paraId="27AEBEB5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6503 Paints and varnishes </w:t>
            </w:r>
            <w:r w:rsidR="000E42BB" w:rsidRPr="002F6A28">
              <w:rPr>
                <w:bCs/>
              </w:rPr>
              <w:t>—</w:t>
            </w:r>
            <w:r w:rsidRPr="002F6A28">
              <w:rPr>
                <w:bCs/>
              </w:rPr>
              <w:t xml:space="preserve"> Determination of total lead — Flame atomic absorption spectrometric method</w:t>
            </w:r>
          </w:p>
          <w:p w14:paraId="75D6E4B1" w14:textId="77777777" w:rsidR="000E42BB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ISO 6504-3, Paints and varnishes — Determination of hiding power — Part 3: Determination of contrast ratio of light coloured paints at a fixed spreading rate </w:t>
            </w:r>
          </w:p>
          <w:p w14:paraId="50104A51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9117-1, Paints and varnishes — Drying tests — Part 1: Determination of through-dry state and through-dry time</w:t>
            </w:r>
          </w:p>
          <w:p w14:paraId="1BFFF48C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9117-3, Paints and varnishes — Drying tests — Part 3: Surface-drying test using </w:t>
            </w:r>
            <w:proofErr w:type="spellStart"/>
            <w:r w:rsidRPr="002F6A28">
              <w:rPr>
                <w:bCs/>
              </w:rPr>
              <w:t>ballotini</w:t>
            </w:r>
            <w:proofErr w:type="spellEnd"/>
          </w:p>
          <w:p w14:paraId="455560A5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11890-1, Paints and varnishes — Determination of volatile organic compound (VOC) content — Part 1: Difference method</w:t>
            </w:r>
          </w:p>
          <w:p w14:paraId="77698636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264EB184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19396-1, Paints and varnishes — Determination of pH value — Part 1: pH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electrodes with glass membrane</w:t>
            </w:r>
          </w:p>
          <w:p w14:paraId="33FCDE02" w14:textId="77777777" w:rsidR="0029243D" w:rsidRPr="002F6A28" w:rsidRDefault="009C36D2" w:rsidP="000E42B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21546, Paints and varnishes — Determination of the resistance to rubbing using a linear abrasion tester (</w:t>
            </w:r>
            <w:proofErr w:type="spellStart"/>
            <w:r w:rsidRPr="002F6A28">
              <w:rPr>
                <w:bCs/>
              </w:rPr>
              <w:t>crockmeter</w:t>
            </w:r>
            <w:proofErr w:type="spellEnd"/>
            <w:r w:rsidRPr="002F6A28">
              <w:rPr>
                <w:bCs/>
              </w:rPr>
              <w:t>)</w:t>
            </w:r>
          </w:p>
        </w:tc>
      </w:tr>
      <w:tr w:rsidR="00525647" w14:paraId="3D618FE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041C1" w14:textId="77777777" w:rsidR="00EE3A11" w:rsidRPr="002F6A28" w:rsidRDefault="009C36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375025" w14:textId="77777777" w:rsidR="00EE3A11" w:rsidRPr="002F6A28" w:rsidRDefault="009C36D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500A7CC6" w14:textId="77777777" w:rsidR="00EE3A11" w:rsidRPr="002F6A28" w:rsidRDefault="009C36D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525647" w14:paraId="51E227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DA2778" w14:textId="77777777" w:rsidR="00F85C99" w:rsidRPr="002F6A28" w:rsidRDefault="009C36D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91A48" w14:textId="77777777" w:rsidR="00F85C99" w:rsidRPr="002F6A28" w:rsidRDefault="009C36D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25647" w14:paraId="399B3A0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C0D8B4D" w14:textId="77777777" w:rsidR="00F85C99" w:rsidRPr="002F6A28" w:rsidRDefault="009C36D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EA60BB9" w14:textId="77777777" w:rsidR="00F85C99" w:rsidRPr="002F6A28" w:rsidRDefault="009C36D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31C90B3" w14:textId="77777777" w:rsidR="000E42BB" w:rsidRDefault="009C36D2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 xml:space="preserve">Ms. </w:t>
            </w:r>
            <w:proofErr w:type="spellStart"/>
            <w:r w:rsidRPr="002F6A28">
              <w:t>Bahati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Samillani</w:t>
            </w:r>
            <w:proofErr w:type="spellEnd"/>
            <w:r w:rsidRPr="002F6A28">
              <w:t xml:space="preserve"> (NEP officer) and Mr. </w:t>
            </w:r>
            <w:proofErr w:type="spellStart"/>
            <w:r w:rsidRPr="002F6A28">
              <w:t>Clavery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Chausi</w:t>
            </w:r>
            <w:proofErr w:type="spellEnd"/>
            <w:r w:rsidRPr="002F6A28">
              <w:br/>
              <w:t>Tanzania Bureau of Standards (TBS)</w:t>
            </w:r>
          </w:p>
          <w:p w14:paraId="19E7EA5D" w14:textId="77777777" w:rsidR="000E42BB" w:rsidRDefault="009C36D2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proofErr w:type="spellStart"/>
            <w:r w:rsidRPr="000E42BB">
              <w:rPr>
                <w:lang w:val="es-ES"/>
              </w:rPr>
              <w:t>Morogoro</w:t>
            </w:r>
            <w:proofErr w:type="spellEnd"/>
            <w:r w:rsidRPr="000E42BB">
              <w:rPr>
                <w:lang w:val="es-ES"/>
              </w:rPr>
              <w:t xml:space="preserve">/Sam </w:t>
            </w:r>
            <w:proofErr w:type="spellStart"/>
            <w:r w:rsidRPr="000E42BB">
              <w:rPr>
                <w:lang w:val="es-ES"/>
              </w:rPr>
              <w:t>Nujoma</w:t>
            </w:r>
            <w:proofErr w:type="spellEnd"/>
            <w:r w:rsidRPr="000E42BB">
              <w:rPr>
                <w:lang w:val="es-ES"/>
              </w:rPr>
              <w:t xml:space="preserve"> Road, </w:t>
            </w:r>
            <w:proofErr w:type="spellStart"/>
            <w:r w:rsidRPr="000E42BB">
              <w:rPr>
                <w:lang w:val="es-ES"/>
              </w:rPr>
              <w:t>Ubungo</w:t>
            </w:r>
            <w:proofErr w:type="spellEnd"/>
            <w:r w:rsidRPr="000E42BB">
              <w:rPr>
                <w:lang w:val="es-ES"/>
              </w:rPr>
              <w:br/>
              <w:t>P O Box 9524</w:t>
            </w:r>
            <w:r w:rsidRPr="000E42BB">
              <w:rPr>
                <w:lang w:val="es-ES"/>
              </w:rPr>
              <w:br/>
              <w:t xml:space="preserve">Dar Es </w:t>
            </w:r>
            <w:proofErr w:type="spellStart"/>
            <w:r w:rsidRPr="000E42BB">
              <w:rPr>
                <w:lang w:val="es-ES"/>
              </w:rPr>
              <w:t>Salaam</w:t>
            </w:r>
            <w:proofErr w:type="spellEnd"/>
          </w:p>
          <w:p w14:paraId="7116A243" w14:textId="77777777" w:rsidR="0029243D" w:rsidRPr="000E42BB" w:rsidRDefault="009C36D2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0E42BB">
              <w:rPr>
                <w:lang w:val="es-ES"/>
              </w:rPr>
              <w:t>+(255) 22 2450206</w:t>
            </w:r>
            <w:r w:rsidRPr="000E42BB">
              <w:rPr>
                <w:lang w:val="es-ES"/>
              </w:rPr>
              <w:br/>
            </w:r>
            <w:hyperlink r:id="rId7" w:history="1">
              <w:r w:rsidRPr="000E42BB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0E42BB">
              <w:rPr>
                <w:lang w:val="es-ES"/>
              </w:rPr>
              <w:t xml:space="preserve">; </w:t>
            </w:r>
            <w:hyperlink r:id="rId8" w:history="1">
              <w:r w:rsidRPr="000E42BB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0E42BB">
              <w:rPr>
                <w:lang w:val="es-ES"/>
              </w:rPr>
              <w:br/>
            </w:r>
            <w:hyperlink r:id="rId9" w:history="1">
              <w:r w:rsidRPr="000E42BB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0C5BD230" w14:textId="77777777" w:rsidR="0029243D" w:rsidRPr="002F6A28" w:rsidRDefault="00EF76F1" w:rsidP="00B16145">
            <w:pPr>
              <w:keepNext/>
              <w:keepLines/>
              <w:spacing w:before="120" w:after="120"/>
            </w:pPr>
            <w:hyperlink r:id="rId10" w:history="1">
              <w:r w:rsidR="009C36D2" w:rsidRPr="002F6A28">
                <w:rPr>
                  <w:color w:val="0000FF"/>
                  <w:u w:val="single"/>
                </w:rPr>
                <w:t>https://members.wto.org/crnattachments/2021/TBT/TZA/21_3326_00_e.pdf</w:t>
              </w:r>
            </w:hyperlink>
            <w:bookmarkEnd w:id="40"/>
          </w:p>
        </w:tc>
      </w:tr>
    </w:tbl>
    <w:p w14:paraId="130D058B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D3F4" w14:textId="77777777" w:rsidR="000F158A" w:rsidRDefault="009C36D2">
      <w:r>
        <w:separator/>
      </w:r>
    </w:p>
  </w:endnote>
  <w:endnote w:type="continuationSeparator" w:id="0">
    <w:p w14:paraId="53478FAB" w14:textId="77777777" w:rsidR="000F158A" w:rsidRDefault="009C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0A83" w14:textId="77777777" w:rsidR="009239F7" w:rsidRPr="002F6A28" w:rsidRDefault="009C36D2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6F10" w14:textId="77777777" w:rsidR="009239F7" w:rsidRPr="002F6A28" w:rsidRDefault="009C36D2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F514" w14:textId="15D28BA4" w:rsidR="00EE3A11" w:rsidRPr="002F6A28" w:rsidRDefault="009C36D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5C6A" w14:textId="77777777" w:rsidR="000F158A" w:rsidRDefault="009C36D2">
      <w:r>
        <w:separator/>
      </w:r>
    </w:p>
  </w:footnote>
  <w:footnote w:type="continuationSeparator" w:id="0">
    <w:p w14:paraId="2F224459" w14:textId="77777777" w:rsidR="000F158A" w:rsidRDefault="009C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11BBA" w14:textId="77777777" w:rsidR="009239F7" w:rsidRPr="002F6A28" w:rsidRDefault="009C36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2F415C3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7B021E" w14:textId="77777777" w:rsidR="009239F7" w:rsidRPr="002F6A28" w:rsidRDefault="009C36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F0D20D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6FA8" w14:textId="7426F6AF" w:rsidR="009239F7" w:rsidRPr="002F6A28" w:rsidRDefault="009C36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TZA</w:t>
    </w:r>
    <w:proofErr w:type="spellEnd"/>
    <w:r w:rsidRPr="002F6A28">
      <w:t>/596</w:t>
    </w:r>
    <w:bookmarkEnd w:id="41"/>
  </w:p>
  <w:p w14:paraId="302D712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5B8976" w14:textId="77777777" w:rsidR="009239F7" w:rsidRPr="002F6A28" w:rsidRDefault="009C36D2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4B563F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25647" w14:paraId="1054F53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C69CC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7A066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25647" w14:paraId="307FC4B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4FF741" w14:textId="77777777" w:rsidR="00ED54E0" w:rsidRPr="009239F7" w:rsidRDefault="009C36D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CA3AAF5" wp14:editId="4DE2296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677355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CD3BE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25647" w14:paraId="2584115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AB6CDD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7C2AD5" w14:textId="77777777" w:rsidR="009239F7" w:rsidRPr="002F6A28" w:rsidRDefault="009C36D2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TZA</w:t>
          </w:r>
          <w:proofErr w:type="spellEnd"/>
          <w:r w:rsidRPr="002F6A28">
            <w:rPr>
              <w:b/>
              <w:szCs w:val="16"/>
            </w:rPr>
            <w:t>/596</w:t>
          </w:r>
          <w:bookmarkEnd w:id="43"/>
        </w:p>
      </w:tc>
    </w:tr>
    <w:tr w:rsidR="00525647" w14:paraId="07CB6B1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99CF8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BC6715" w14:textId="4E62EE9E" w:rsidR="00ED54E0" w:rsidRPr="009239F7" w:rsidRDefault="002216A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May 2021</w:t>
          </w:r>
        </w:p>
      </w:tc>
    </w:tr>
    <w:tr w:rsidR="00525647" w14:paraId="639E919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D74E3C" w14:textId="50CB0432" w:rsidR="00ED54E0" w:rsidRPr="009239F7" w:rsidRDefault="009C36D2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2216A4">
            <w:rPr>
              <w:color w:val="FF0000"/>
              <w:szCs w:val="16"/>
            </w:rPr>
            <w:t>21-</w:t>
          </w:r>
          <w:r w:rsidR="00371FA4">
            <w:rPr>
              <w:color w:val="FF0000"/>
              <w:szCs w:val="16"/>
            </w:rPr>
            <w:t>3932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E10C37" w14:textId="77777777" w:rsidR="00ED54E0" w:rsidRPr="009239F7" w:rsidRDefault="009C36D2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25647" w14:paraId="7E2FEF3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433D9E" w14:textId="77777777" w:rsidR="00ED54E0" w:rsidRPr="009239F7" w:rsidRDefault="009C36D2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9FBD5A" w14:textId="77777777" w:rsidR="00ED54E0" w:rsidRPr="002F6A28" w:rsidRDefault="009C36D2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FF858A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248E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660D7E2" w:tentative="1">
      <w:start w:val="1"/>
      <w:numFmt w:val="lowerLetter"/>
      <w:lvlText w:val="%2."/>
      <w:lvlJc w:val="left"/>
      <w:pPr>
        <w:ind w:left="1080" w:hanging="360"/>
      </w:pPr>
    </w:lvl>
    <w:lvl w:ilvl="2" w:tplc="B82E5180" w:tentative="1">
      <w:start w:val="1"/>
      <w:numFmt w:val="lowerRoman"/>
      <w:lvlText w:val="%3."/>
      <w:lvlJc w:val="right"/>
      <w:pPr>
        <w:ind w:left="1800" w:hanging="180"/>
      </w:pPr>
    </w:lvl>
    <w:lvl w:ilvl="3" w:tplc="268AE33E" w:tentative="1">
      <w:start w:val="1"/>
      <w:numFmt w:val="decimal"/>
      <w:lvlText w:val="%4."/>
      <w:lvlJc w:val="left"/>
      <w:pPr>
        <w:ind w:left="2520" w:hanging="360"/>
      </w:pPr>
    </w:lvl>
    <w:lvl w:ilvl="4" w:tplc="4D1A7614" w:tentative="1">
      <w:start w:val="1"/>
      <w:numFmt w:val="lowerLetter"/>
      <w:lvlText w:val="%5."/>
      <w:lvlJc w:val="left"/>
      <w:pPr>
        <w:ind w:left="3240" w:hanging="360"/>
      </w:pPr>
    </w:lvl>
    <w:lvl w:ilvl="5" w:tplc="4776DF2C" w:tentative="1">
      <w:start w:val="1"/>
      <w:numFmt w:val="lowerRoman"/>
      <w:lvlText w:val="%6."/>
      <w:lvlJc w:val="right"/>
      <w:pPr>
        <w:ind w:left="3960" w:hanging="180"/>
      </w:pPr>
    </w:lvl>
    <w:lvl w:ilvl="6" w:tplc="56820DD8" w:tentative="1">
      <w:start w:val="1"/>
      <w:numFmt w:val="decimal"/>
      <w:lvlText w:val="%7."/>
      <w:lvlJc w:val="left"/>
      <w:pPr>
        <w:ind w:left="4680" w:hanging="360"/>
      </w:pPr>
    </w:lvl>
    <w:lvl w:ilvl="7" w:tplc="6102E16A" w:tentative="1">
      <w:start w:val="1"/>
      <w:numFmt w:val="lowerLetter"/>
      <w:lvlText w:val="%8."/>
      <w:lvlJc w:val="left"/>
      <w:pPr>
        <w:ind w:left="5400" w:hanging="360"/>
      </w:pPr>
    </w:lvl>
    <w:lvl w:ilvl="8" w:tplc="32203D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86ED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B6B4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864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EA27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FAB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6A06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2A42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B245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8C9F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03EBF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0E42BB"/>
    <w:rsid w:val="000F158A"/>
    <w:rsid w:val="0011356B"/>
    <w:rsid w:val="001157E9"/>
    <w:rsid w:val="001206E6"/>
    <w:rsid w:val="00125032"/>
    <w:rsid w:val="0013337F"/>
    <w:rsid w:val="0014167E"/>
    <w:rsid w:val="00155128"/>
    <w:rsid w:val="001621F4"/>
    <w:rsid w:val="00182B84"/>
    <w:rsid w:val="0018646B"/>
    <w:rsid w:val="00186B9C"/>
    <w:rsid w:val="001A464A"/>
    <w:rsid w:val="001E291F"/>
    <w:rsid w:val="00204CC3"/>
    <w:rsid w:val="002216A4"/>
    <w:rsid w:val="00233408"/>
    <w:rsid w:val="00267723"/>
    <w:rsid w:val="00270637"/>
    <w:rsid w:val="0027067B"/>
    <w:rsid w:val="0029243D"/>
    <w:rsid w:val="002D21E3"/>
    <w:rsid w:val="002E174F"/>
    <w:rsid w:val="002F6A28"/>
    <w:rsid w:val="00303D9D"/>
    <w:rsid w:val="00304AAE"/>
    <w:rsid w:val="003124EC"/>
    <w:rsid w:val="003531C5"/>
    <w:rsid w:val="003572B4"/>
    <w:rsid w:val="00371FA4"/>
    <w:rsid w:val="003723A9"/>
    <w:rsid w:val="00381B96"/>
    <w:rsid w:val="00383F7A"/>
    <w:rsid w:val="00396AF4"/>
    <w:rsid w:val="003B2BBF"/>
    <w:rsid w:val="003B40C7"/>
    <w:rsid w:val="003D6604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25647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C36D2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5C30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E5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3326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3022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2021-05-10T07:16:00Z</dcterms:created>
  <dcterms:modified xsi:type="dcterms:W3CDTF">2021-05-10T08:16:00Z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