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3DBF" w14:textId="77777777" w:rsidR="009239F7" w:rsidRPr="002F6A28" w:rsidRDefault="00D0190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21AD77" w14:textId="77777777" w:rsidR="009239F7" w:rsidRPr="002F6A28" w:rsidRDefault="00D01903" w:rsidP="002F6A28">
      <w:pPr>
        <w:jc w:val="center"/>
      </w:pPr>
      <w:r w:rsidRPr="002F6A28">
        <w:t>The following notification is being circulated in accordance with Article 10.6</w:t>
      </w:r>
    </w:p>
    <w:p w14:paraId="7408895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1BD2" w14:paraId="643F5AB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689CA04" w14:textId="77777777" w:rsidR="00F85C99" w:rsidRPr="002F6A28" w:rsidRDefault="00D019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F17B538" w14:textId="77777777" w:rsidR="00F85C99" w:rsidRPr="002F6A28" w:rsidRDefault="00D0190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7B902744" w14:textId="77777777" w:rsidR="00F85C99" w:rsidRPr="002F6A28" w:rsidRDefault="00D0190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1BD2" w14:paraId="404D49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7A718" w14:textId="77777777" w:rsidR="00F85C99" w:rsidRPr="002F6A28" w:rsidRDefault="00D019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23FA7" w14:textId="77777777" w:rsidR="00F85C99" w:rsidRPr="002F6A28" w:rsidRDefault="00D0190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4F0ADEE" w14:textId="77777777" w:rsidR="00F85C99" w:rsidRPr="002F6A28" w:rsidRDefault="00D0190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71BD2" w14:paraId="13DAEF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BE76E" w14:textId="77777777" w:rsidR="00F85C99" w:rsidRPr="002F6A28" w:rsidRDefault="00D019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A62BE" w14:textId="77777777" w:rsidR="00F85C99" w:rsidRPr="0058336F" w:rsidRDefault="00D0190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71BD2" w14:paraId="4F62CB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5274D" w14:textId="77777777" w:rsidR="00F85C99" w:rsidRPr="002F6A28" w:rsidRDefault="00D019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19376" w14:textId="77777777" w:rsidR="00F85C99" w:rsidRPr="002F6A28" w:rsidRDefault="00D0190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571BD2" w14:paraId="7663B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E369" w14:textId="77777777" w:rsidR="00F85C99" w:rsidRPr="002F6A28" w:rsidRDefault="00D0190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2F23C" w14:textId="77777777" w:rsidR="00F85C99" w:rsidRPr="002F6A28" w:rsidRDefault="00D0190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 w:rsidR="009C16BE">
              <w:t> </w:t>
            </w:r>
            <w:r w:rsidR="00EE3A11" w:rsidRPr="00C379C8">
              <w:t>1051:2021 Two-pack epoxy primer — Specification (10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71BD2" w14:paraId="71B79C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21FC4" w14:textId="77777777" w:rsidR="00F85C99" w:rsidRPr="002F6A28" w:rsidRDefault="00D019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98423" w14:textId="77777777" w:rsidR="009C16BE" w:rsidRDefault="00D01903" w:rsidP="009C16BE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a two- pack epoxy </w:t>
            </w:r>
            <w:proofErr w:type="gramStart"/>
            <w:r w:rsidR="00FE448B" w:rsidRPr="00C379C8">
              <w:t>solvent based</w:t>
            </w:r>
            <w:proofErr w:type="gramEnd"/>
            <w:r w:rsidR="00FE448B" w:rsidRPr="00C379C8">
              <w:t xml:space="preserve"> primer used for protection of iron, steel and galvanized iron and steel against atmospheric corrosion in an industrial or marine environment.</w:t>
            </w:r>
          </w:p>
          <w:p w14:paraId="6FCEF5C6" w14:textId="77777777" w:rsidR="00F85C99" w:rsidRPr="002F6A28" w:rsidRDefault="00D01903" w:rsidP="009C16BE">
            <w:pPr>
              <w:spacing w:before="120" w:after="120"/>
              <w:rPr>
                <w:b/>
              </w:rPr>
            </w:pPr>
            <w:r w:rsidRPr="00C379C8">
              <w:t xml:space="preserve">It's also used as an anticorrosive primer for decks, deck fittings and cargo </w:t>
            </w:r>
            <w:proofErr w:type="gramStart"/>
            <w:r w:rsidRPr="00C379C8">
              <w:t>holds</w:t>
            </w:r>
            <w:proofErr w:type="gramEnd"/>
            <w:r w:rsidRPr="00C379C8">
              <w:t xml:space="preserve"> and for use at maintenance and repair or on board maintenance.</w:t>
            </w:r>
          </w:p>
        </w:tc>
      </w:tr>
      <w:tr w:rsidR="00571BD2" w14:paraId="5CBAA4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E7FC1" w14:textId="77777777" w:rsidR="00F85C99" w:rsidRPr="002F6A28" w:rsidRDefault="00D019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7EC8C" w14:textId="77777777" w:rsidR="00F85C99" w:rsidRPr="002F6A28" w:rsidRDefault="00D0190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571BD2" w14:paraId="6AAE9C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67333" w14:textId="77777777" w:rsidR="00F85C99" w:rsidRPr="002F6A28" w:rsidRDefault="00D0190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E7219" w14:textId="77777777" w:rsidR="00072B36" w:rsidRPr="002F6A28" w:rsidRDefault="00D01903" w:rsidP="009C16B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9C0B9C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51765A67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1524, Paints, </w:t>
            </w:r>
            <w:proofErr w:type="gramStart"/>
            <w:r w:rsidRPr="002F6A28">
              <w:rPr>
                <w:bCs/>
              </w:rPr>
              <w:t>varnishes</w:t>
            </w:r>
            <w:proofErr w:type="gramEnd"/>
            <w:r w:rsidRPr="002F6A28">
              <w:rPr>
                <w:bCs/>
              </w:rPr>
              <w:t xml:space="preserve"> and printing ink — Determination of fineness of grind</w:t>
            </w:r>
          </w:p>
          <w:p w14:paraId="44770F7D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2812-1,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resistance to liquids — Part</w:t>
            </w:r>
            <w:r w:rsidR="009C16BE">
              <w:rPr>
                <w:bCs/>
              </w:rPr>
              <w:t> </w:t>
            </w:r>
            <w:r w:rsidRPr="002F6A28">
              <w:rPr>
                <w:bCs/>
              </w:rPr>
              <w:t>1: Immersion in liquids other than water</w:t>
            </w:r>
          </w:p>
          <w:p w14:paraId="269A01BB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2813,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specular gloss of non-metallic paint films at 20°, 60° and 85°</w:t>
            </w:r>
          </w:p>
          <w:p w14:paraId="7D413C2B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2884-2,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viscosity using rotary viscometers — Part 2: Disc or ball viscometer operated at a specified speed</w:t>
            </w:r>
          </w:p>
          <w:p w14:paraId="4AAE4AA3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1B72235D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3270, Paints and varnishes and their raw materials — Temperatures and </w:t>
            </w:r>
            <w:proofErr w:type="spellStart"/>
            <w:r w:rsidRPr="002F6A28">
              <w:rPr>
                <w:bCs/>
              </w:rPr>
              <w:t>humidities</w:t>
            </w:r>
            <w:proofErr w:type="spellEnd"/>
            <w:r w:rsidRPr="002F6A28">
              <w:rPr>
                <w:bCs/>
              </w:rPr>
              <w:t xml:space="preserve"> for conditioning and testing</w:t>
            </w:r>
          </w:p>
          <w:p w14:paraId="04C35997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3856-6,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"soluble" metal content — Part 6: Determination of total chromium content of the liquid portion of the paint — Flame atomic absorption spectrometric method</w:t>
            </w:r>
          </w:p>
          <w:p w14:paraId="5550AF2D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4618,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Terms and definitions</w:t>
            </w:r>
          </w:p>
          <w:p w14:paraId="135D2977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6503 Paints and varnishes — Determination of total lead — Flame atomic absorption spectrometric method</w:t>
            </w:r>
          </w:p>
          <w:p w14:paraId="780C8515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6504-3, Paints and varnishes — Determination of hiding power — Part 3: Determination of contrast ratio of </w:t>
            </w:r>
            <w:proofErr w:type="gramStart"/>
            <w:r w:rsidRPr="002F6A28">
              <w:rPr>
                <w:bCs/>
              </w:rPr>
              <w:t>light coloured</w:t>
            </w:r>
            <w:proofErr w:type="gramEnd"/>
            <w:r w:rsidRPr="002F6A28">
              <w:rPr>
                <w:bCs/>
              </w:rPr>
              <w:t xml:space="preserve"> paints at a fixed spreading rate</w:t>
            </w:r>
          </w:p>
          <w:p w14:paraId="135A6214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Drying tests — Part 1: Determination of through-dry state and through-dry time</w:t>
            </w:r>
          </w:p>
          <w:p w14:paraId="0D715F07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9117-3,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Drying tests — Part 3: Surface-drying test using </w:t>
            </w:r>
            <w:proofErr w:type="spellStart"/>
            <w:r w:rsidRPr="002F6A28">
              <w:rPr>
                <w:bCs/>
              </w:rPr>
              <w:t>ballotini</w:t>
            </w:r>
            <w:proofErr w:type="spellEnd"/>
          </w:p>
          <w:p w14:paraId="51574724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1C510161" w14:textId="77777777" w:rsidR="00F03A06" w:rsidRPr="002F6A28" w:rsidRDefault="00D01903" w:rsidP="009C16B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17132,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T-bend test</w:t>
            </w:r>
          </w:p>
        </w:tc>
      </w:tr>
      <w:tr w:rsidR="00571BD2" w14:paraId="42DAEC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1ADDA" w14:textId="77777777" w:rsidR="00EE3A11" w:rsidRPr="002F6A28" w:rsidRDefault="00D019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74E12" w14:textId="77777777" w:rsidR="00EE3A11" w:rsidRPr="002F6A28" w:rsidRDefault="00D0190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20BB0C7D" w14:textId="77777777" w:rsidR="00EE3A11" w:rsidRPr="002F6A28" w:rsidRDefault="00D0190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August 2021</w:t>
            </w:r>
            <w:bookmarkEnd w:id="34"/>
          </w:p>
        </w:tc>
      </w:tr>
      <w:tr w:rsidR="00571BD2" w14:paraId="2F0144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83E75" w14:textId="77777777" w:rsidR="00F85C99" w:rsidRPr="002F6A28" w:rsidRDefault="00D0190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0EB57" w14:textId="77777777" w:rsidR="00F85C99" w:rsidRPr="002F6A28" w:rsidRDefault="00D0190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71BD2" w:rsidRPr="00424606" w14:paraId="7E35EB8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EAC7D98" w14:textId="77777777" w:rsidR="00F85C99" w:rsidRPr="002F6A28" w:rsidRDefault="00D0190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5B0D6F" w14:textId="77777777" w:rsidR="00F85C99" w:rsidRPr="002F6A28" w:rsidRDefault="00D0190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21F0D4D" w14:textId="77777777" w:rsidR="00505459" w:rsidRDefault="00D01903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6C4E22BB" w14:textId="77777777" w:rsidR="00505459" w:rsidRDefault="00D0190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505459">
              <w:rPr>
                <w:lang w:val="es-ES"/>
              </w:rPr>
              <w:t>Morogoro</w:t>
            </w:r>
            <w:proofErr w:type="spellEnd"/>
            <w:r w:rsidRPr="00505459">
              <w:rPr>
                <w:lang w:val="es-ES"/>
              </w:rPr>
              <w:t xml:space="preserve">/Sam </w:t>
            </w:r>
            <w:proofErr w:type="spellStart"/>
            <w:r w:rsidRPr="00505459">
              <w:rPr>
                <w:lang w:val="es-ES"/>
              </w:rPr>
              <w:t>Nujoma</w:t>
            </w:r>
            <w:proofErr w:type="spellEnd"/>
            <w:r w:rsidRPr="00505459">
              <w:rPr>
                <w:lang w:val="es-ES"/>
              </w:rPr>
              <w:t xml:space="preserve"> Road, </w:t>
            </w:r>
            <w:proofErr w:type="spellStart"/>
            <w:r w:rsidRPr="00505459">
              <w:rPr>
                <w:lang w:val="es-ES"/>
              </w:rPr>
              <w:t>Ubungo</w:t>
            </w:r>
            <w:proofErr w:type="spellEnd"/>
            <w:r w:rsidRPr="00505459">
              <w:rPr>
                <w:lang w:val="es-ES"/>
              </w:rPr>
              <w:br/>
              <w:t>P O Box 9524</w:t>
            </w:r>
            <w:r w:rsidRPr="00505459">
              <w:rPr>
                <w:lang w:val="es-ES"/>
              </w:rPr>
              <w:br/>
              <w:t xml:space="preserve">Dar Es </w:t>
            </w:r>
            <w:proofErr w:type="spellStart"/>
            <w:r w:rsidRPr="00505459">
              <w:rPr>
                <w:lang w:val="es-ES"/>
              </w:rPr>
              <w:t>Salaam</w:t>
            </w:r>
            <w:proofErr w:type="spellEnd"/>
          </w:p>
          <w:p w14:paraId="0C973F05" w14:textId="77777777" w:rsidR="00F03A06" w:rsidRPr="00505459" w:rsidRDefault="00D01903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505459">
              <w:rPr>
                <w:lang w:val="es-ES"/>
              </w:rPr>
              <w:t>+(255) 22 2450206</w:t>
            </w:r>
            <w:r w:rsidRPr="00505459">
              <w:rPr>
                <w:lang w:val="es-ES"/>
              </w:rPr>
              <w:br/>
            </w:r>
            <w:hyperlink r:id="rId7" w:history="1">
              <w:r w:rsidRPr="00505459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505459">
              <w:rPr>
                <w:lang w:val="es-ES"/>
              </w:rPr>
              <w:t xml:space="preserve">; </w:t>
            </w:r>
            <w:hyperlink r:id="rId8" w:history="1">
              <w:r w:rsidRPr="00505459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505459">
              <w:rPr>
                <w:lang w:val="es-ES"/>
              </w:rPr>
              <w:br/>
            </w:r>
            <w:hyperlink r:id="rId9" w:history="1">
              <w:r w:rsidRPr="00505459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215969A0" w14:textId="77777777" w:rsidR="00F03A06" w:rsidRPr="00D01903" w:rsidRDefault="00424606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D01903" w:rsidRPr="00D01903">
                <w:rPr>
                  <w:color w:val="0000FF"/>
                  <w:u w:val="single"/>
                  <w:lang w:val="es-ES"/>
                </w:rPr>
                <w:t>https://members.wto.org/crnattachments/2021/TBT/TZA/21_3329_00_e.pdf</w:t>
              </w:r>
            </w:hyperlink>
            <w:bookmarkEnd w:id="40"/>
          </w:p>
        </w:tc>
      </w:tr>
    </w:tbl>
    <w:p w14:paraId="759A648C" w14:textId="77777777" w:rsidR="00EE3A11" w:rsidRPr="00D01903" w:rsidRDefault="00EE3A11" w:rsidP="002F6A28">
      <w:pPr>
        <w:rPr>
          <w:lang w:val="es-ES"/>
        </w:rPr>
      </w:pPr>
    </w:p>
    <w:sectPr w:rsidR="00EE3A11" w:rsidRPr="00D01903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941C" w14:textId="77777777" w:rsidR="00804B83" w:rsidRDefault="00D01903">
      <w:r>
        <w:separator/>
      </w:r>
    </w:p>
  </w:endnote>
  <w:endnote w:type="continuationSeparator" w:id="0">
    <w:p w14:paraId="7E511F4F" w14:textId="77777777" w:rsidR="00804B83" w:rsidRDefault="00D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A408" w14:textId="77777777" w:rsidR="009239F7" w:rsidRPr="002F6A28" w:rsidRDefault="00D0190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2B70" w14:textId="77777777" w:rsidR="009239F7" w:rsidRPr="002F6A28" w:rsidRDefault="00D0190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884C" w14:textId="0DC0A5E4" w:rsidR="00EE3A11" w:rsidRPr="002F6A28" w:rsidRDefault="00D0190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5774" w14:textId="77777777" w:rsidR="00804B83" w:rsidRDefault="00D01903">
      <w:r>
        <w:separator/>
      </w:r>
    </w:p>
  </w:footnote>
  <w:footnote w:type="continuationSeparator" w:id="0">
    <w:p w14:paraId="6FC2A40F" w14:textId="77777777" w:rsidR="00804B83" w:rsidRDefault="00D0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C03E" w14:textId="77777777" w:rsidR="009239F7" w:rsidRPr="002F6A28" w:rsidRDefault="00D019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A0DF6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A7D6CE" w14:textId="77777777" w:rsidR="009239F7" w:rsidRPr="002F6A28" w:rsidRDefault="00D019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E88AF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8C14" w14:textId="1A857AB1" w:rsidR="009239F7" w:rsidRPr="002F6A28" w:rsidRDefault="00D019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G/TBT/N/TZA/599</w:t>
    </w:r>
    <w:bookmarkEnd w:id="41"/>
  </w:p>
  <w:p w14:paraId="3ACE9B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40C9F0" w14:textId="77777777" w:rsidR="009239F7" w:rsidRPr="002F6A28" w:rsidRDefault="00D0190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8FBE4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1BD2" w14:paraId="0A92023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5B9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97909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71BD2" w14:paraId="2865E2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6ABA6A" w14:textId="77777777" w:rsidR="00ED54E0" w:rsidRPr="009239F7" w:rsidRDefault="00D0190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B2D7B4" wp14:editId="5709E6A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3829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7E393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1BD2" w14:paraId="0A6AD64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AE209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24F229" w14:textId="77777777" w:rsidR="009239F7" w:rsidRPr="002F6A28" w:rsidRDefault="00D0190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G/TBT/N/TZA/599</w:t>
          </w:r>
          <w:bookmarkEnd w:id="43"/>
        </w:p>
      </w:tc>
    </w:tr>
    <w:tr w:rsidR="00571BD2" w14:paraId="07B5956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AC25C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25361" w14:textId="53F3A9E4" w:rsidR="00ED54E0" w:rsidRPr="009239F7" w:rsidRDefault="00D0190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May 2021</w:t>
          </w:r>
        </w:p>
      </w:tc>
    </w:tr>
    <w:tr w:rsidR="00571BD2" w14:paraId="0117DC9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30FF68" w14:textId="1B8D17A6" w:rsidR="00ED54E0" w:rsidRPr="009239F7" w:rsidRDefault="00D0190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24606">
            <w:rPr>
              <w:color w:val="FF0000"/>
              <w:szCs w:val="16"/>
            </w:rPr>
            <w:t>3936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C33011" w14:textId="77777777" w:rsidR="00ED54E0" w:rsidRPr="009239F7" w:rsidRDefault="00D0190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71BD2" w14:paraId="325F270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771DBF" w14:textId="77777777" w:rsidR="00ED54E0" w:rsidRPr="009239F7" w:rsidRDefault="00D0190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CF064" w14:textId="77777777" w:rsidR="00ED54E0" w:rsidRPr="002F6A28" w:rsidRDefault="00D0190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768E8A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964E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88A9A2" w:tentative="1">
      <w:start w:val="1"/>
      <w:numFmt w:val="lowerLetter"/>
      <w:lvlText w:val="%2."/>
      <w:lvlJc w:val="left"/>
      <w:pPr>
        <w:ind w:left="1080" w:hanging="360"/>
      </w:pPr>
    </w:lvl>
    <w:lvl w:ilvl="2" w:tplc="3CE81028" w:tentative="1">
      <w:start w:val="1"/>
      <w:numFmt w:val="lowerRoman"/>
      <w:lvlText w:val="%3."/>
      <w:lvlJc w:val="right"/>
      <w:pPr>
        <w:ind w:left="1800" w:hanging="180"/>
      </w:pPr>
    </w:lvl>
    <w:lvl w:ilvl="3" w:tplc="4AE24958" w:tentative="1">
      <w:start w:val="1"/>
      <w:numFmt w:val="decimal"/>
      <w:lvlText w:val="%4."/>
      <w:lvlJc w:val="left"/>
      <w:pPr>
        <w:ind w:left="2520" w:hanging="360"/>
      </w:pPr>
    </w:lvl>
    <w:lvl w:ilvl="4" w:tplc="055CEBB2" w:tentative="1">
      <w:start w:val="1"/>
      <w:numFmt w:val="lowerLetter"/>
      <w:lvlText w:val="%5."/>
      <w:lvlJc w:val="left"/>
      <w:pPr>
        <w:ind w:left="3240" w:hanging="360"/>
      </w:pPr>
    </w:lvl>
    <w:lvl w:ilvl="5" w:tplc="B6EE5236" w:tentative="1">
      <w:start w:val="1"/>
      <w:numFmt w:val="lowerRoman"/>
      <w:lvlText w:val="%6."/>
      <w:lvlJc w:val="right"/>
      <w:pPr>
        <w:ind w:left="3960" w:hanging="180"/>
      </w:pPr>
    </w:lvl>
    <w:lvl w:ilvl="6" w:tplc="7CECCE32" w:tentative="1">
      <w:start w:val="1"/>
      <w:numFmt w:val="decimal"/>
      <w:lvlText w:val="%7."/>
      <w:lvlJc w:val="left"/>
      <w:pPr>
        <w:ind w:left="4680" w:hanging="360"/>
      </w:pPr>
    </w:lvl>
    <w:lvl w:ilvl="7" w:tplc="E29AEF9E" w:tentative="1">
      <w:start w:val="1"/>
      <w:numFmt w:val="lowerLetter"/>
      <w:lvlText w:val="%8."/>
      <w:lvlJc w:val="left"/>
      <w:pPr>
        <w:ind w:left="5400" w:hanging="360"/>
      </w:pPr>
    </w:lvl>
    <w:lvl w:ilvl="8" w:tplc="2B085B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E20E3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741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F68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203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14F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FA0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9E6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681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C60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4606"/>
    <w:rsid w:val="004423A4"/>
    <w:rsid w:val="00467032"/>
    <w:rsid w:val="0046754A"/>
    <w:rsid w:val="0048173D"/>
    <w:rsid w:val="004A23F8"/>
    <w:rsid w:val="004C27A4"/>
    <w:rsid w:val="004E51B2"/>
    <w:rsid w:val="004F203A"/>
    <w:rsid w:val="00505459"/>
    <w:rsid w:val="005104AF"/>
    <w:rsid w:val="005336B8"/>
    <w:rsid w:val="00533DC1"/>
    <w:rsid w:val="0054317D"/>
    <w:rsid w:val="00545ACF"/>
    <w:rsid w:val="0054638A"/>
    <w:rsid w:val="00547B5F"/>
    <w:rsid w:val="00564605"/>
    <w:rsid w:val="00571BD2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4B83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6BE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1903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3A06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32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3204</Characters>
  <Application>Microsoft Office Word</Application>
  <DocSecurity>0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2021-05-10T07:47:00Z</dcterms:created>
  <dcterms:modified xsi:type="dcterms:W3CDTF">2021-05-10T08:26:00Z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