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99" w:rsidRDefault="00F32C99" w:rsidP="00F32C99">
      <w:pPr>
        <w:autoSpaceDE w:val="0"/>
        <w:autoSpaceDN w:val="0"/>
        <w:adjustRightInd w:val="0"/>
        <w:spacing w:after="0" w:line="240" w:lineRule="auto"/>
        <w:contextualSpacing/>
        <w:jc w:val="center"/>
        <w:rPr>
          <w:rFonts w:asciiTheme="majorHAnsi" w:hAnsiTheme="majorHAnsi" w:cs="Tahoma"/>
          <w:sz w:val="24"/>
          <w:szCs w:val="24"/>
        </w:rPr>
      </w:pPr>
      <w:bookmarkStart w:id="0" w:name="_GoBack"/>
      <w:bookmarkEnd w:id="0"/>
      <w:r>
        <w:rPr>
          <w:rFonts w:asciiTheme="majorHAnsi" w:hAnsiTheme="majorHAnsi" w:cstheme="minorHAnsi"/>
          <w:b/>
          <w:bCs/>
          <w:sz w:val="24"/>
          <w:szCs w:val="24"/>
          <w:u w:val="single"/>
          <w:lang w:val="en-IN" w:eastAsia="en-IN"/>
        </w:rPr>
        <w:t>PUBLIC NOTICE NO.031</w:t>
      </w:r>
    </w:p>
    <w:p w:rsidR="00F32C99" w:rsidRDefault="00F32C99" w:rsidP="00F32C99">
      <w:pPr>
        <w:spacing w:after="0" w:line="240" w:lineRule="auto"/>
        <w:contextualSpacing/>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DTD.09.03.2017</w:t>
      </w:r>
    </w:p>
    <w:p w:rsidR="00F32C99" w:rsidRDefault="00F32C99" w:rsidP="00F32C99">
      <w:pPr>
        <w:spacing w:after="0" w:line="240" w:lineRule="auto"/>
        <w:contextualSpacing/>
        <w:jc w:val="right"/>
        <w:rPr>
          <w:rFonts w:asciiTheme="majorHAnsi" w:hAnsiTheme="majorHAnsi" w:cs="Calibri-Bold"/>
          <w:b/>
          <w:bCs/>
          <w:sz w:val="24"/>
          <w:szCs w:val="24"/>
        </w:rPr>
      </w:pP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Attention of all the Importers, Exporters, Customs Brokers, and the members of the Trade is invited to the Public Notice No.128/2016 dated 26.09.2016 issued by JNCH, with reference to Board's Instruction No. 31/2016-Customs dated 12.09.2016 wherein the Board has clarified rules regarding rules of Origin under Free/Preferential Trade Agreements and the verification of referential Certificates of Origin. </w:t>
      </w: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2. Representations from the trade have been received stating delay in obtaining original PTA/FTA certificates from the overseas suppliers. In this regard, they have requested for Custom Clearance on the basis of self-certified copies of these Preferential Trade Agreement/Free Trade Agreement certificates. </w:t>
      </w: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3. After careful consideration of the above requests, as a measure of Trade facilitation and with a view to reduce dwell time and transaction cost to the importer, it has been decided in case of DPD/AEO clients of this Custom House that, they can submit a self-certified copy (by importer) of the PTA/FTA certificate at the time of clearance of the goods and shall submit the Original certificate within 15 days of Clearance of goods. </w:t>
      </w: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4. The importer will be required to obtain a serial Number on the self-certified copy of the PTA/FTA certificate from the concerned group. The concerned Group shall allot a serial number from the register maintained for this purpose apart from verifying the seal and signature on the said certificate. Based on the self-certified copy of the PTA/FTA certificate, Assessment/Out of charge will be done. </w:t>
      </w: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5. It will be the responsibility of the importer to submit the original PTA/FTA certificate within the stipulated time period, failing which, a demand notice to the Importer will be issued by the concerned Group and further action will be initiated as per the provisions of the Customs Act 1962. </w:t>
      </w: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p>
    <w:p w:rsidR="00F32C99" w:rsidRDefault="00F32C99" w:rsidP="00F32C99">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5. Difficulties, if any; faced in implementation of these instructions may be brought to the notice of the undersigned. </w:t>
      </w:r>
    </w:p>
    <w:p w:rsidR="00F32C99" w:rsidRDefault="00F32C99" w:rsidP="00F32C99">
      <w:pPr>
        <w:autoSpaceDE w:val="0"/>
        <w:autoSpaceDN w:val="0"/>
        <w:adjustRightInd w:val="0"/>
        <w:spacing w:after="0" w:line="240" w:lineRule="auto"/>
        <w:contextualSpacing/>
        <w:jc w:val="right"/>
        <w:rPr>
          <w:rFonts w:asciiTheme="majorHAnsi" w:hAnsiTheme="majorHAnsi" w:cs="Times New Roman"/>
          <w:sz w:val="24"/>
          <w:szCs w:val="24"/>
        </w:rPr>
      </w:pPr>
      <w:r>
        <w:rPr>
          <w:rFonts w:asciiTheme="majorHAnsi" w:hAnsiTheme="majorHAnsi" w:cs="Times New Roman"/>
          <w:b/>
          <w:bCs/>
          <w:sz w:val="24"/>
          <w:szCs w:val="24"/>
        </w:rPr>
        <w:t xml:space="preserve">Sd/- </w:t>
      </w:r>
    </w:p>
    <w:p w:rsidR="00F32C99" w:rsidRDefault="00F32C99" w:rsidP="00F32C99">
      <w:pPr>
        <w:spacing w:after="0" w:line="240" w:lineRule="auto"/>
        <w:contextualSpacing/>
        <w:jc w:val="right"/>
        <w:rPr>
          <w:rFonts w:asciiTheme="majorHAnsi" w:hAnsiTheme="majorHAnsi" w:cs="Times New Roman"/>
          <w:b/>
          <w:bCs/>
          <w:sz w:val="24"/>
          <w:szCs w:val="24"/>
        </w:rPr>
      </w:pPr>
      <w:r>
        <w:rPr>
          <w:rFonts w:asciiTheme="majorHAnsi" w:hAnsiTheme="majorHAnsi" w:cs="Times New Roman"/>
          <w:b/>
          <w:bCs/>
          <w:sz w:val="24"/>
          <w:szCs w:val="24"/>
        </w:rPr>
        <w:t>(SHRAWAN KUMAR)</w:t>
      </w:r>
    </w:p>
    <w:p w:rsidR="006C5360" w:rsidRDefault="006C5360"/>
    <w:p w:rsidR="00923902" w:rsidRDefault="00923902"/>
    <w:p w:rsidR="00923902" w:rsidRDefault="00923902"/>
    <w:p w:rsidR="00923902" w:rsidRDefault="00923902"/>
    <w:p w:rsidR="00923902" w:rsidRDefault="00923902"/>
    <w:p w:rsidR="00923902" w:rsidRDefault="00923902"/>
    <w:p w:rsidR="00923902" w:rsidRDefault="00923902"/>
    <w:p w:rsidR="00923902" w:rsidRDefault="00923902"/>
    <w:p w:rsidR="00923902" w:rsidRDefault="00923902"/>
    <w:p w:rsidR="00923902" w:rsidRDefault="00923902" w:rsidP="00923902">
      <w:pPr>
        <w:autoSpaceDE w:val="0"/>
        <w:autoSpaceDN w:val="0"/>
        <w:adjustRightInd w:val="0"/>
        <w:spacing w:after="0" w:line="240" w:lineRule="auto"/>
        <w:contextualSpacing/>
        <w:jc w:val="center"/>
        <w:rPr>
          <w:rFonts w:asciiTheme="majorHAnsi" w:hAnsiTheme="majorHAnsi" w:cs="Tahoma"/>
          <w:sz w:val="24"/>
          <w:szCs w:val="24"/>
        </w:rPr>
      </w:pPr>
      <w:r>
        <w:rPr>
          <w:rFonts w:asciiTheme="majorHAnsi" w:hAnsiTheme="majorHAnsi" w:cstheme="minorHAnsi"/>
          <w:b/>
          <w:bCs/>
          <w:sz w:val="24"/>
          <w:szCs w:val="24"/>
          <w:u w:val="single"/>
          <w:lang w:val="en-IN" w:eastAsia="en-IN"/>
        </w:rPr>
        <w:t>PUBLIC NOTICE NO.032</w:t>
      </w:r>
    </w:p>
    <w:p w:rsidR="00923902" w:rsidRDefault="00923902" w:rsidP="00923902">
      <w:pPr>
        <w:spacing w:after="0" w:line="240" w:lineRule="auto"/>
        <w:contextualSpacing/>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DTD.15.03.2017</w:t>
      </w:r>
    </w:p>
    <w:p w:rsidR="00923902" w:rsidRDefault="00923902" w:rsidP="00923902">
      <w:pPr>
        <w:spacing w:after="0" w:line="240" w:lineRule="auto"/>
        <w:contextualSpacing/>
        <w:jc w:val="center"/>
        <w:rPr>
          <w:rFonts w:asciiTheme="majorHAnsi" w:hAnsiTheme="majorHAnsi" w:cstheme="minorHAnsi"/>
          <w:b/>
          <w:bCs/>
          <w:sz w:val="24"/>
          <w:szCs w:val="24"/>
          <w:u w:val="single"/>
          <w:lang w:val="en-IN" w:eastAsia="en-IN"/>
        </w:rPr>
      </w:pP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Attention of the Importers, Exporters, General Trade, Port Terminal Operator, Shipping Lines / Shipping Agents, CFSs coming under the jurisdiction of JNCH, Nhava Sheva and all other stakeholders is invited to various other decisions communicated through Public Notices [Public Notice No 161/2016, dated 28.11.2016 (DPD facility to 467 importers), Public Notice No 180/2016, dated 19.12.2016 (DPD facility to another 214 bid importers), Public Notice No 160/2016, dated 29.11.2016 (creation of dedicated “DPD/RMS Facilitation Centre at JNCH), Public Notice No 08/2017, dated 16.01.2017 (Certain clarifications about DPD facility ), Public Notice No 09/2017, dated 16.01.2017, Public Notice No 16/2017, dated 09.02.2017, Public Notice No 27/2017, dated 02.03.2017 and Public Notice No 29/2017, dated 08.03`.2017 and other Public Notices issued from time to time for smooth clearing of consignments and to reduce dwell time of import. </w:t>
      </w: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4"/>
        </w:rPr>
      </w:pPr>
    </w:p>
    <w:p w:rsidR="00923902" w:rsidRDefault="00923902" w:rsidP="00923902">
      <w:pPr>
        <w:autoSpaceDE w:val="0"/>
        <w:autoSpaceDN w:val="0"/>
        <w:adjustRightInd w:val="0"/>
        <w:spacing w:after="0" w:line="240" w:lineRule="auto"/>
        <w:contextualSpacing/>
        <w:jc w:val="both"/>
        <w:rPr>
          <w:rFonts w:asciiTheme="majorHAnsi" w:hAnsiTheme="majorHAnsi" w:cs="Tahoma"/>
          <w:b/>
          <w:bCs/>
          <w:sz w:val="24"/>
          <w:szCs w:val="24"/>
        </w:rPr>
      </w:pPr>
      <w:r>
        <w:rPr>
          <w:rFonts w:asciiTheme="majorHAnsi" w:hAnsiTheme="majorHAnsi" w:cs="Tahoma"/>
          <w:b/>
          <w:bCs/>
          <w:sz w:val="24"/>
          <w:szCs w:val="24"/>
        </w:rPr>
        <w:t xml:space="preserve">DPD Importer is using own transport arrangement: </w:t>
      </w: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4"/>
        </w:rPr>
      </w:pP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2.1 </w:t>
      </w:r>
      <w:r>
        <w:rPr>
          <w:rFonts w:asciiTheme="majorHAnsi" w:hAnsiTheme="majorHAnsi" w:cs="Tahoma"/>
          <w:sz w:val="24"/>
          <w:szCs w:val="24"/>
        </w:rPr>
        <w:t xml:space="preserve">Public Notice No 29/2017, dated 08.03.2017 provided the mode of verification of OOC and do as well as Container no &amp; seal No, where DPD Importer is using own transport arrangement. It provided </w:t>
      </w: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4"/>
        </w:rPr>
      </w:pPr>
    </w:p>
    <w:p w:rsidR="00923902" w:rsidRDefault="00923902" w:rsidP="00923902">
      <w:pPr>
        <w:spacing w:after="0" w:line="240" w:lineRule="auto"/>
        <w:contextualSpacing/>
        <w:jc w:val="both"/>
        <w:rPr>
          <w:rFonts w:asciiTheme="majorHAnsi" w:hAnsiTheme="majorHAnsi" w:cs="Tahoma"/>
          <w:sz w:val="24"/>
          <w:szCs w:val="26"/>
        </w:rPr>
      </w:pPr>
      <w:r>
        <w:rPr>
          <w:rFonts w:asciiTheme="majorHAnsi" w:hAnsiTheme="majorHAnsi" w:cs="Tahoma"/>
          <w:b/>
          <w:bCs/>
          <w:sz w:val="24"/>
          <w:szCs w:val="24"/>
        </w:rPr>
        <w:t xml:space="preserve">3. </w:t>
      </w:r>
      <w:r>
        <w:rPr>
          <w:rFonts w:asciiTheme="majorHAnsi" w:hAnsiTheme="majorHAnsi" w:cs="Tahoma"/>
          <w:sz w:val="24"/>
          <w:szCs w:val="24"/>
        </w:rPr>
        <w:t xml:space="preserve">Similarly, it is also clarified that in such cases, where DPD Importer is using own transport arrangement (“DPD Code” as “Stacking code”) for evacuation of DPD containers, it is the responsibility of concerned Port Terminal to ensure that Customs Out of Charge (OOC) has been obtained </w:t>
      </w:r>
      <w:r>
        <w:rPr>
          <w:rFonts w:asciiTheme="majorHAnsi" w:hAnsiTheme="majorHAnsi" w:cs="Tahoma"/>
          <w:sz w:val="24"/>
          <w:szCs w:val="26"/>
        </w:rPr>
        <w:t xml:space="preserve">before the container leave the Port Terminals. Further, Customs officers posted inside the Terminal should also check &amp; verify Customs Out of Charge (OOC) as already prescribed in Public Notice No 163/2016 dated 01.12.2016. </w:t>
      </w:r>
    </w:p>
    <w:p w:rsidR="00923902" w:rsidRDefault="00923902" w:rsidP="00923902">
      <w:pPr>
        <w:spacing w:after="0" w:line="240" w:lineRule="auto"/>
        <w:contextualSpacing/>
        <w:jc w:val="both"/>
        <w:rPr>
          <w:rFonts w:asciiTheme="majorHAnsi" w:hAnsiTheme="majorHAnsi" w:cs="Tahoma"/>
          <w:sz w:val="24"/>
          <w:szCs w:val="24"/>
        </w:rPr>
      </w:pPr>
    </w:p>
    <w:p w:rsidR="00923902" w:rsidRDefault="00923902" w:rsidP="00923902">
      <w:pPr>
        <w:spacing w:after="0" w:line="240" w:lineRule="auto"/>
        <w:contextualSpacing/>
        <w:jc w:val="both"/>
        <w:rPr>
          <w:rFonts w:asciiTheme="majorHAnsi" w:hAnsiTheme="majorHAnsi" w:cs="Calibri-Bold"/>
          <w:b/>
          <w:bCs/>
          <w:sz w:val="24"/>
          <w:szCs w:val="24"/>
          <w:u w:val="single"/>
        </w:rPr>
      </w:pPr>
      <w:r>
        <w:rPr>
          <w:rFonts w:asciiTheme="majorHAnsi" w:hAnsiTheme="majorHAnsi" w:cs="Tahoma"/>
          <w:b/>
          <w:bCs/>
          <w:sz w:val="24"/>
          <w:szCs w:val="26"/>
        </w:rPr>
        <w:t xml:space="preserve">2.2 </w:t>
      </w:r>
      <w:r>
        <w:rPr>
          <w:rFonts w:asciiTheme="majorHAnsi" w:hAnsiTheme="majorHAnsi" w:cs="Tahoma"/>
          <w:sz w:val="24"/>
          <w:szCs w:val="26"/>
        </w:rPr>
        <w:t xml:space="preserve">It is clarified that where </w:t>
      </w:r>
      <w:r>
        <w:rPr>
          <w:rFonts w:asciiTheme="majorHAnsi" w:hAnsiTheme="majorHAnsi" w:cs="Tahoma"/>
          <w:b/>
          <w:bCs/>
          <w:sz w:val="24"/>
          <w:szCs w:val="26"/>
        </w:rPr>
        <w:t xml:space="preserve">DPD Importer is using own transport arrangement, </w:t>
      </w:r>
      <w:r>
        <w:rPr>
          <w:rFonts w:asciiTheme="majorHAnsi" w:hAnsiTheme="majorHAnsi" w:cs="Tahoma"/>
          <w:sz w:val="24"/>
          <w:szCs w:val="26"/>
        </w:rPr>
        <w:t>responsibilities for verification of Customs Out of Charge (OOC), Delivery Order (DO), “Container No, seal No &amp; condition of seal” by Customs, CFS &amp; Port Terminal will be as under:</w:t>
      </w:r>
    </w:p>
    <w:tbl>
      <w:tblPr>
        <w:tblStyle w:val="TableGrid"/>
        <w:tblW w:w="0" w:type="auto"/>
        <w:tblInd w:w="0" w:type="dxa"/>
        <w:tblLook w:val="04A0" w:firstRow="1" w:lastRow="0" w:firstColumn="1" w:lastColumn="0" w:noHBand="0" w:noVBand="1"/>
      </w:tblPr>
      <w:tblGrid>
        <w:gridCol w:w="3070"/>
        <w:gridCol w:w="1738"/>
        <w:gridCol w:w="4434"/>
      </w:tblGrid>
      <w:tr w:rsidR="00923902" w:rsidTr="00923902">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Verification</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Responsibility</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Place / stage of verification</w:t>
            </w:r>
          </w:p>
        </w:tc>
      </w:tr>
      <w:tr w:rsidR="00923902" w:rsidTr="00923902">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Verification of OOC</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Terminal </w:t>
            </w:r>
          </w:p>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Operator </w:t>
            </w:r>
          </w:p>
          <w:p w:rsidR="00923902" w:rsidRDefault="00923902">
            <w:pPr>
              <w:contextualSpacing/>
              <w:jc w:val="both"/>
              <w:rPr>
                <w:rFonts w:asciiTheme="majorHAnsi" w:eastAsia="Times New Roman" w:hAnsiTheme="majorHAnsi" w:cs="Arial"/>
                <w:sz w:val="24"/>
                <w:szCs w:val="24"/>
              </w:rPr>
            </w:pPr>
          </w:p>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Customs</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Before release of container to Importer</w:t>
            </w:r>
          </w:p>
          <w:p w:rsidR="00923902" w:rsidRDefault="00923902">
            <w:pPr>
              <w:contextualSpacing/>
              <w:jc w:val="both"/>
              <w:rPr>
                <w:rFonts w:asciiTheme="majorHAnsi" w:eastAsia="Times New Roman" w:hAnsiTheme="majorHAnsi" w:cs="Arial"/>
                <w:sz w:val="24"/>
                <w:szCs w:val="24"/>
              </w:rPr>
            </w:pPr>
          </w:p>
          <w:p w:rsidR="00923902" w:rsidRDefault="00923902">
            <w:pPr>
              <w:contextualSpacing/>
              <w:jc w:val="both"/>
              <w:rPr>
                <w:rFonts w:asciiTheme="majorHAnsi" w:eastAsia="Times New Roman" w:hAnsiTheme="majorHAnsi" w:cs="Arial"/>
                <w:sz w:val="24"/>
                <w:szCs w:val="24"/>
              </w:rPr>
            </w:pPr>
          </w:p>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By the Customs officers posted inside the Terminal Before the exit of container from Port Terminal.</w:t>
            </w:r>
          </w:p>
        </w:tc>
      </w:tr>
      <w:tr w:rsidR="00923902" w:rsidTr="00923902">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Verification of Delivery Order</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Terminal </w:t>
            </w:r>
          </w:p>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Operator</w:t>
            </w:r>
          </w:p>
          <w:p w:rsidR="00923902" w:rsidRDefault="00923902">
            <w:pPr>
              <w:contextualSpacing/>
              <w:jc w:val="both"/>
              <w:rPr>
                <w:rFonts w:asciiTheme="majorHAnsi" w:hAnsiTheme="majorHAnsi" w:cs="Calibri-Bold"/>
                <w:b/>
                <w:bCs/>
                <w:sz w:val="24"/>
                <w:szCs w:val="24"/>
                <w:u w:val="single"/>
              </w:rPr>
            </w:pP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Before release of container to Importer</w:t>
            </w:r>
          </w:p>
        </w:tc>
      </w:tr>
      <w:tr w:rsidR="00923902" w:rsidTr="00923902">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Verification of Container No, seal No &amp; condition of seal</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Customs</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By the Customs officers posted inside the Terminal Before the exit of container from Port Terminal.</w:t>
            </w:r>
          </w:p>
        </w:tc>
      </w:tr>
    </w:tbl>
    <w:p w:rsidR="00923902" w:rsidRDefault="00923902" w:rsidP="00923902">
      <w:pPr>
        <w:autoSpaceDE w:val="0"/>
        <w:autoSpaceDN w:val="0"/>
        <w:adjustRightInd w:val="0"/>
        <w:spacing w:after="0" w:line="240" w:lineRule="auto"/>
        <w:contextualSpacing/>
        <w:jc w:val="both"/>
        <w:rPr>
          <w:rFonts w:asciiTheme="majorHAnsi" w:hAnsiTheme="majorHAnsi" w:cs="Tahoma"/>
          <w:b/>
          <w:bCs/>
          <w:sz w:val="24"/>
          <w:szCs w:val="26"/>
        </w:rPr>
      </w:pPr>
      <w:r>
        <w:rPr>
          <w:rFonts w:asciiTheme="majorHAnsi" w:hAnsiTheme="majorHAnsi" w:cs="Tahoma"/>
          <w:b/>
          <w:bCs/>
          <w:sz w:val="24"/>
          <w:szCs w:val="26"/>
        </w:rPr>
        <w:lastRenderedPageBreak/>
        <w:t xml:space="preserve">DPD Importer is using the CFS logistics / CFS transport arrangement and container is routed through CFS DPD Area: </w:t>
      </w: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6"/>
        </w:rPr>
      </w:pP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6"/>
        </w:rPr>
      </w:pPr>
      <w:r>
        <w:rPr>
          <w:rFonts w:asciiTheme="majorHAnsi" w:hAnsiTheme="majorHAnsi" w:cs="Tahoma"/>
          <w:b/>
          <w:bCs/>
          <w:sz w:val="24"/>
          <w:szCs w:val="26"/>
        </w:rPr>
        <w:t xml:space="preserve">3.1 </w:t>
      </w:r>
      <w:r>
        <w:rPr>
          <w:rFonts w:asciiTheme="majorHAnsi" w:hAnsiTheme="majorHAnsi" w:cs="Tahoma"/>
          <w:sz w:val="24"/>
          <w:szCs w:val="26"/>
        </w:rPr>
        <w:t xml:space="preserve">Public Notice No 27/2017, dated 02.03.2017 provided the mode of verification of OOC and do as well as Container no &amp; seal No, where DPD Importer is using the CFS logistics / CFS transport arrangement. It provided: </w:t>
      </w: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6"/>
        </w:rPr>
      </w:pPr>
    </w:p>
    <w:p w:rsidR="00923902" w:rsidRDefault="00923902" w:rsidP="00923902">
      <w:pPr>
        <w:spacing w:after="0" w:line="240" w:lineRule="auto"/>
        <w:contextualSpacing/>
        <w:jc w:val="both"/>
        <w:rPr>
          <w:rFonts w:asciiTheme="majorHAnsi" w:hAnsiTheme="majorHAnsi" w:cs="Tahoma"/>
          <w:sz w:val="24"/>
          <w:szCs w:val="26"/>
        </w:rPr>
      </w:pPr>
      <w:r>
        <w:rPr>
          <w:rFonts w:asciiTheme="majorHAnsi" w:hAnsiTheme="majorHAnsi" w:cs="Tahoma"/>
          <w:b/>
          <w:bCs/>
          <w:sz w:val="24"/>
          <w:szCs w:val="26"/>
        </w:rPr>
        <w:t xml:space="preserve">4. </w:t>
      </w:r>
      <w:r>
        <w:rPr>
          <w:rFonts w:asciiTheme="majorHAnsi" w:hAnsiTheme="majorHAnsi" w:cs="Tahoma"/>
          <w:sz w:val="24"/>
          <w:szCs w:val="26"/>
        </w:rPr>
        <w:t>Similarly, it is also clarified that in such cases, where CFS Logistics is being used (“CFS Code” as “Stacking code”) for evacuation of DPD containers, it is the responsibility of concerned CFS to ensure that Customs Out of Charge (OOC) has been obtained before the container leave the Port Terminals &amp; enter the CFS. Officer at the gate of CFS will verify the compliance (OOC obtained before the container leave the Port Terminals &amp; enter the CFS).</w:t>
      </w:r>
    </w:p>
    <w:p w:rsidR="00923902" w:rsidRDefault="00923902" w:rsidP="00923902">
      <w:pPr>
        <w:spacing w:after="0" w:line="240" w:lineRule="auto"/>
        <w:contextualSpacing/>
        <w:jc w:val="both"/>
        <w:rPr>
          <w:rFonts w:asciiTheme="majorHAnsi" w:hAnsiTheme="majorHAnsi" w:cs="Tahoma"/>
          <w:sz w:val="24"/>
          <w:szCs w:val="26"/>
        </w:rPr>
      </w:pPr>
    </w:p>
    <w:p w:rsidR="00923902" w:rsidRDefault="00923902" w:rsidP="00923902">
      <w:pPr>
        <w:spacing w:after="0" w:line="240" w:lineRule="auto"/>
        <w:contextualSpacing/>
        <w:jc w:val="both"/>
        <w:rPr>
          <w:rFonts w:asciiTheme="majorHAnsi" w:hAnsiTheme="majorHAnsi"/>
          <w:sz w:val="24"/>
          <w:szCs w:val="26"/>
        </w:rPr>
      </w:pPr>
      <w:r>
        <w:rPr>
          <w:rFonts w:asciiTheme="majorHAnsi" w:hAnsiTheme="majorHAnsi"/>
          <w:b/>
          <w:bCs/>
          <w:sz w:val="24"/>
          <w:szCs w:val="26"/>
        </w:rPr>
        <w:t xml:space="preserve">3.2 </w:t>
      </w:r>
      <w:r>
        <w:rPr>
          <w:rFonts w:asciiTheme="majorHAnsi" w:hAnsiTheme="majorHAnsi"/>
          <w:sz w:val="24"/>
          <w:szCs w:val="26"/>
        </w:rPr>
        <w:t xml:space="preserve">It is clarified that where </w:t>
      </w:r>
      <w:r>
        <w:rPr>
          <w:rFonts w:asciiTheme="majorHAnsi" w:hAnsiTheme="majorHAnsi"/>
          <w:b/>
          <w:bCs/>
          <w:sz w:val="24"/>
          <w:szCs w:val="26"/>
        </w:rPr>
        <w:t xml:space="preserve">DPD Importer is using the CFS logistics / CFS transport arrangement and container is routed through CFS DPD Area, </w:t>
      </w:r>
      <w:r>
        <w:rPr>
          <w:rFonts w:asciiTheme="majorHAnsi" w:hAnsiTheme="majorHAnsi"/>
          <w:sz w:val="24"/>
          <w:szCs w:val="26"/>
        </w:rPr>
        <w:t>responsibilities for verification of Customs Out of Charge (OOC), Delivery Order (DO), “Container No, seal No &amp; condition of seal” by Customs, CFS &amp; Port Terminal will be as under:</w:t>
      </w:r>
    </w:p>
    <w:tbl>
      <w:tblPr>
        <w:tblStyle w:val="TableGrid"/>
        <w:tblW w:w="10008" w:type="dxa"/>
        <w:tblInd w:w="0" w:type="dxa"/>
        <w:tblLook w:val="04A0" w:firstRow="1" w:lastRow="0" w:firstColumn="1" w:lastColumn="0" w:noHBand="0" w:noVBand="1"/>
      </w:tblPr>
      <w:tblGrid>
        <w:gridCol w:w="2484"/>
        <w:gridCol w:w="1944"/>
        <w:gridCol w:w="5580"/>
      </w:tblGrid>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Verification</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Responsibility</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Place / stage of verification</w:t>
            </w:r>
          </w:p>
        </w:tc>
      </w:tr>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Verification of OOC</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CFS</w:t>
            </w:r>
          </w:p>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Customs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Before release of container to Importer</w:t>
            </w:r>
          </w:p>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At the time of entry of container in CFS as well as at the time of exit from CFS DPD Area</w:t>
            </w:r>
          </w:p>
        </w:tc>
      </w:tr>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Verification of Delivery Order</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CFS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Before release of container to Importer</w:t>
            </w:r>
          </w:p>
          <w:p w:rsidR="00923902" w:rsidRDefault="00923902">
            <w:pPr>
              <w:contextualSpacing/>
              <w:jc w:val="both"/>
              <w:rPr>
                <w:rFonts w:asciiTheme="majorHAnsi" w:hAnsiTheme="majorHAnsi" w:cs="Calibri-Bold"/>
                <w:b/>
                <w:bCs/>
                <w:sz w:val="24"/>
                <w:szCs w:val="24"/>
                <w:u w:val="single"/>
              </w:rPr>
            </w:pPr>
          </w:p>
        </w:tc>
      </w:tr>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Verification of Container No, seal No &amp; condition of seal</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Customs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At the time of entry of container in CFS as well as at the time of exit from CFS DPD Area</w:t>
            </w:r>
          </w:p>
        </w:tc>
      </w:tr>
    </w:tbl>
    <w:p w:rsidR="00923902" w:rsidRDefault="00923902" w:rsidP="00923902">
      <w:pPr>
        <w:autoSpaceDE w:val="0"/>
        <w:autoSpaceDN w:val="0"/>
        <w:adjustRightInd w:val="0"/>
        <w:spacing w:after="0" w:line="240" w:lineRule="auto"/>
        <w:contextualSpacing/>
        <w:jc w:val="both"/>
        <w:rPr>
          <w:rFonts w:asciiTheme="majorHAnsi" w:hAnsiTheme="majorHAnsi" w:cs="Tahoma"/>
          <w:b/>
          <w:bCs/>
          <w:sz w:val="24"/>
          <w:szCs w:val="26"/>
        </w:rPr>
      </w:pPr>
      <w:r>
        <w:rPr>
          <w:rFonts w:asciiTheme="majorHAnsi" w:hAnsiTheme="majorHAnsi" w:cs="Tahoma"/>
          <w:b/>
          <w:bCs/>
          <w:sz w:val="24"/>
          <w:szCs w:val="26"/>
        </w:rPr>
        <w:t xml:space="preserve">DPD Importer is using the CFS logistics / CFS transport arrangement and container is not routed through CFS DPD Area and delivered directly to DPD Importer premises: </w:t>
      </w: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6"/>
        </w:rPr>
      </w:pPr>
    </w:p>
    <w:p w:rsidR="00923902" w:rsidRDefault="00923902" w:rsidP="00923902">
      <w:pPr>
        <w:autoSpaceDE w:val="0"/>
        <w:autoSpaceDN w:val="0"/>
        <w:adjustRightInd w:val="0"/>
        <w:spacing w:after="0" w:line="240" w:lineRule="auto"/>
        <w:contextualSpacing/>
        <w:jc w:val="both"/>
        <w:rPr>
          <w:rFonts w:asciiTheme="majorHAnsi" w:hAnsiTheme="majorHAnsi" w:cs="Tahoma"/>
          <w:sz w:val="24"/>
          <w:szCs w:val="26"/>
        </w:rPr>
      </w:pPr>
      <w:r>
        <w:rPr>
          <w:rFonts w:asciiTheme="majorHAnsi" w:hAnsiTheme="majorHAnsi" w:cs="Tahoma"/>
          <w:b/>
          <w:bCs/>
          <w:sz w:val="24"/>
          <w:szCs w:val="26"/>
        </w:rPr>
        <w:t xml:space="preserve">4.1 </w:t>
      </w:r>
      <w:r>
        <w:rPr>
          <w:rFonts w:asciiTheme="majorHAnsi" w:hAnsiTheme="majorHAnsi" w:cs="Tahoma"/>
          <w:sz w:val="24"/>
          <w:szCs w:val="26"/>
        </w:rPr>
        <w:t xml:space="preserve">It is observed that aforesaid Public Notice does not cover the mode of verification of OOC and do as well as Container no &amp; seal No, where DPD Importer is using the CFS logistics / CFS transport arrangement and containers are delivered to DPD Importer without routing through DPD Area of concerned CFS. </w:t>
      </w:r>
    </w:p>
    <w:p w:rsidR="00923902" w:rsidRDefault="00923902" w:rsidP="00923902">
      <w:pPr>
        <w:spacing w:after="0" w:line="240" w:lineRule="auto"/>
        <w:contextualSpacing/>
        <w:jc w:val="both"/>
        <w:rPr>
          <w:rFonts w:asciiTheme="majorHAnsi" w:hAnsiTheme="majorHAnsi" w:cs="Tahoma"/>
          <w:sz w:val="24"/>
          <w:szCs w:val="26"/>
        </w:rPr>
      </w:pPr>
      <w:r>
        <w:rPr>
          <w:rFonts w:asciiTheme="majorHAnsi" w:hAnsiTheme="majorHAnsi" w:cs="Tahoma"/>
          <w:b/>
          <w:bCs/>
          <w:sz w:val="24"/>
          <w:szCs w:val="26"/>
        </w:rPr>
        <w:t xml:space="preserve">4.2 </w:t>
      </w:r>
      <w:r>
        <w:rPr>
          <w:rFonts w:asciiTheme="majorHAnsi" w:hAnsiTheme="majorHAnsi" w:cs="Tahoma"/>
          <w:sz w:val="24"/>
          <w:szCs w:val="26"/>
        </w:rPr>
        <w:t xml:space="preserve">It is clarified that where </w:t>
      </w:r>
      <w:r>
        <w:rPr>
          <w:rFonts w:asciiTheme="majorHAnsi" w:hAnsiTheme="majorHAnsi" w:cs="Tahoma"/>
          <w:b/>
          <w:bCs/>
          <w:sz w:val="24"/>
          <w:szCs w:val="26"/>
        </w:rPr>
        <w:t xml:space="preserve">DPD Importer is using the CFS logistics / CFS transport arrangement and container is not routed through CFS DPD Area and delivered directly to DPD Importer premises, </w:t>
      </w:r>
      <w:r>
        <w:rPr>
          <w:rFonts w:asciiTheme="majorHAnsi" w:hAnsiTheme="majorHAnsi" w:cs="Tahoma"/>
          <w:sz w:val="24"/>
          <w:szCs w:val="26"/>
        </w:rPr>
        <w:t>responsibilities for verification of Customs Out of Charge (OOC), Delivery Order (DO), “Container No, seal No &amp; condition of seal” by Customs, CFS &amp; Port Terminal will be as under:</w:t>
      </w:r>
    </w:p>
    <w:tbl>
      <w:tblPr>
        <w:tblStyle w:val="TableGrid"/>
        <w:tblW w:w="0" w:type="auto"/>
        <w:tblInd w:w="0" w:type="dxa"/>
        <w:tblLook w:val="04A0" w:firstRow="1" w:lastRow="0" w:firstColumn="1" w:lastColumn="0" w:noHBand="0" w:noVBand="1"/>
      </w:tblPr>
      <w:tblGrid>
        <w:gridCol w:w="2367"/>
        <w:gridCol w:w="1682"/>
        <w:gridCol w:w="5193"/>
      </w:tblGrid>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Verification</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Responsibility</w:t>
            </w:r>
          </w:p>
        </w:tc>
        <w:tc>
          <w:tcPr>
            <w:tcW w:w="5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Place / stage of verification</w:t>
            </w:r>
          </w:p>
        </w:tc>
      </w:tr>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Verification of OOC</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sz w:val="24"/>
                <w:szCs w:val="24"/>
              </w:rPr>
            </w:pPr>
            <w:r>
              <w:rPr>
                <w:rFonts w:asciiTheme="majorHAnsi" w:hAnsiTheme="majorHAnsi"/>
                <w:sz w:val="24"/>
                <w:szCs w:val="24"/>
              </w:rPr>
              <w:t>CFS</w:t>
            </w:r>
          </w:p>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t>Customs</w:t>
            </w:r>
          </w:p>
        </w:tc>
        <w:tc>
          <w:tcPr>
            <w:tcW w:w="5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Before release of container to Importer</w:t>
            </w:r>
          </w:p>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By the Customs officers posted inside the Terminal Before the exit of container from Port Terminal.</w:t>
            </w:r>
          </w:p>
        </w:tc>
      </w:tr>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Verification of Delivery Order</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902" w:rsidRDefault="00923902">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CFS </w:t>
            </w:r>
          </w:p>
          <w:p w:rsidR="00923902" w:rsidRDefault="00923902">
            <w:pPr>
              <w:contextualSpacing/>
              <w:jc w:val="both"/>
              <w:rPr>
                <w:rFonts w:asciiTheme="majorHAnsi" w:hAnsiTheme="majorHAnsi" w:cs="Calibri-Bold"/>
                <w:b/>
                <w:bCs/>
                <w:sz w:val="24"/>
                <w:szCs w:val="24"/>
                <w:u w:val="single"/>
              </w:rPr>
            </w:pPr>
          </w:p>
        </w:tc>
        <w:tc>
          <w:tcPr>
            <w:tcW w:w="5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Before release of container to Importer</w:t>
            </w:r>
          </w:p>
          <w:p w:rsidR="00923902" w:rsidRDefault="00923902">
            <w:pPr>
              <w:contextualSpacing/>
              <w:jc w:val="both"/>
              <w:rPr>
                <w:rFonts w:asciiTheme="majorHAnsi" w:hAnsiTheme="majorHAnsi" w:cs="Calibri-Bold"/>
                <w:b/>
                <w:bCs/>
                <w:sz w:val="24"/>
                <w:szCs w:val="24"/>
                <w:u w:val="single"/>
              </w:rPr>
            </w:pPr>
          </w:p>
        </w:tc>
      </w:tr>
      <w:tr w:rsidR="00923902" w:rsidTr="00923902">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Verification of Container No, seal </w:t>
            </w:r>
            <w:r>
              <w:rPr>
                <w:rFonts w:asciiTheme="majorHAnsi" w:eastAsia="Times New Roman" w:hAnsiTheme="majorHAnsi" w:cs="Arial"/>
                <w:sz w:val="24"/>
                <w:szCs w:val="24"/>
              </w:rPr>
              <w:lastRenderedPageBreak/>
              <w:t>No &amp; condition of seal</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hAnsiTheme="majorHAnsi" w:cs="Calibri-Bold"/>
                <w:b/>
                <w:bCs/>
                <w:sz w:val="24"/>
                <w:szCs w:val="24"/>
                <w:u w:val="single"/>
              </w:rPr>
            </w:pPr>
            <w:r>
              <w:rPr>
                <w:rFonts w:asciiTheme="majorHAnsi" w:hAnsiTheme="majorHAnsi"/>
                <w:sz w:val="24"/>
                <w:szCs w:val="24"/>
              </w:rPr>
              <w:lastRenderedPageBreak/>
              <w:t>Customs</w:t>
            </w:r>
          </w:p>
        </w:tc>
        <w:tc>
          <w:tcPr>
            <w:tcW w:w="5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902" w:rsidRDefault="00923902">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By the Customs officers posted inside the Terminal Before the exit of container from Port </w:t>
            </w:r>
            <w:r>
              <w:rPr>
                <w:rFonts w:asciiTheme="majorHAnsi" w:eastAsia="Times New Roman" w:hAnsiTheme="majorHAnsi" w:cs="Arial"/>
                <w:sz w:val="24"/>
                <w:szCs w:val="24"/>
              </w:rPr>
              <w:lastRenderedPageBreak/>
              <w:t>Terminal.</w:t>
            </w:r>
          </w:p>
        </w:tc>
      </w:tr>
    </w:tbl>
    <w:p w:rsidR="00923902" w:rsidRDefault="00923902" w:rsidP="00923902">
      <w:pPr>
        <w:spacing w:after="0" w:line="240" w:lineRule="auto"/>
        <w:contextualSpacing/>
        <w:jc w:val="both"/>
        <w:rPr>
          <w:rFonts w:asciiTheme="majorHAnsi" w:hAnsiTheme="majorHAnsi" w:cs="Tahoma"/>
          <w:sz w:val="24"/>
          <w:szCs w:val="26"/>
        </w:rPr>
      </w:pPr>
      <w:r>
        <w:rPr>
          <w:rFonts w:asciiTheme="majorHAnsi" w:hAnsiTheme="majorHAnsi" w:cs="Tahoma"/>
          <w:sz w:val="24"/>
          <w:szCs w:val="26"/>
        </w:rPr>
        <w:lastRenderedPageBreak/>
        <w:t xml:space="preserve">5. Details of instances, where aforesaid procedure is not followed should be intimated by all concerned to Deputy / Assistant Commissioner in charge of DPD Cell, NS-III through email on daily basis (email address: </w:t>
      </w:r>
      <w:hyperlink r:id="rId6" w:history="1">
        <w:r>
          <w:rPr>
            <w:rStyle w:val="Hyperlink"/>
            <w:rFonts w:asciiTheme="majorHAnsi" w:hAnsiTheme="majorHAnsi" w:cs="Tahoma"/>
            <w:sz w:val="24"/>
            <w:szCs w:val="26"/>
          </w:rPr>
          <w:t>appraisingmain.jnch@gov.in</w:t>
        </w:r>
      </w:hyperlink>
      <w:r>
        <w:rPr>
          <w:rFonts w:asciiTheme="majorHAnsi" w:hAnsiTheme="majorHAnsi" w:cs="Tahoma"/>
          <w:sz w:val="24"/>
          <w:szCs w:val="26"/>
        </w:rPr>
        <w:t xml:space="preserve">) </w:t>
      </w:r>
    </w:p>
    <w:p w:rsidR="00923902" w:rsidRDefault="00923902" w:rsidP="00923902">
      <w:pPr>
        <w:spacing w:after="0" w:line="240" w:lineRule="auto"/>
        <w:contextualSpacing/>
        <w:jc w:val="both"/>
        <w:rPr>
          <w:rFonts w:asciiTheme="majorHAnsi" w:hAnsiTheme="majorHAnsi" w:cs="Tahoma"/>
          <w:sz w:val="24"/>
          <w:szCs w:val="26"/>
        </w:rPr>
      </w:pPr>
    </w:p>
    <w:p w:rsidR="00923902" w:rsidRDefault="00923902" w:rsidP="00923902">
      <w:pPr>
        <w:spacing w:after="0" w:line="240" w:lineRule="auto"/>
        <w:contextualSpacing/>
        <w:jc w:val="both"/>
        <w:rPr>
          <w:rFonts w:asciiTheme="majorHAnsi" w:hAnsiTheme="majorHAnsi" w:cs="Tahoma"/>
          <w:sz w:val="24"/>
          <w:szCs w:val="26"/>
        </w:rPr>
      </w:pPr>
      <w:r>
        <w:rPr>
          <w:rFonts w:asciiTheme="majorHAnsi" w:hAnsiTheme="majorHAnsi" w:cs="Tahoma"/>
          <w:sz w:val="24"/>
          <w:szCs w:val="26"/>
        </w:rPr>
        <w:t xml:space="preserve">6. This, issues with approval of the Chief Commissioner of Customs, Mumbai Zone-II, JNCH. Action to be taken in terms of decisions taken in this Public Notice should be considered as standing order for the purpose of officers and staff. </w:t>
      </w:r>
    </w:p>
    <w:p w:rsidR="00923902" w:rsidRDefault="00923902" w:rsidP="00923902">
      <w:pPr>
        <w:spacing w:after="0" w:line="240" w:lineRule="auto"/>
        <w:contextualSpacing/>
        <w:jc w:val="right"/>
        <w:rPr>
          <w:rFonts w:asciiTheme="majorHAnsi" w:hAnsiTheme="majorHAnsi" w:cs="Tahoma"/>
          <w:sz w:val="24"/>
          <w:szCs w:val="26"/>
        </w:rPr>
      </w:pPr>
      <w:r>
        <w:rPr>
          <w:rFonts w:asciiTheme="majorHAnsi" w:hAnsiTheme="majorHAnsi" w:cs="Tahoma"/>
          <w:sz w:val="24"/>
          <w:szCs w:val="26"/>
        </w:rPr>
        <w:t xml:space="preserve">Sd/- </w:t>
      </w:r>
    </w:p>
    <w:p w:rsidR="00923902" w:rsidRDefault="00923902" w:rsidP="00923902">
      <w:pPr>
        <w:spacing w:after="0" w:line="240" w:lineRule="auto"/>
        <w:contextualSpacing/>
        <w:jc w:val="right"/>
        <w:rPr>
          <w:rFonts w:asciiTheme="majorHAnsi" w:hAnsiTheme="majorHAnsi" w:cs="Tahoma"/>
          <w:sz w:val="24"/>
          <w:szCs w:val="26"/>
        </w:rPr>
      </w:pPr>
      <w:r>
        <w:rPr>
          <w:rFonts w:asciiTheme="majorHAnsi" w:hAnsiTheme="majorHAnsi" w:cs="Tahoma"/>
          <w:sz w:val="24"/>
          <w:szCs w:val="26"/>
        </w:rPr>
        <w:t>(SUBHASH AGRAWAL)</w:t>
      </w:r>
    </w:p>
    <w:p w:rsidR="00923902" w:rsidRDefault="00923902"/>
    <w:p w:rsidR="00923902" w:rsidRDefault="00923902"/>
    <w:p w:rsidR="00923902" w:rsidRDefault="00923902"/>
    <w:p w:rsidR="00923902" w:rsidRDefault="00923902"/>
    <w:p w:rsidR="00923902" w:rsidRDefault="00923902"/>
    <w:p w:rsidR="00923902" w:rsidRDefault="00923902"/>
    <w:p w:rsidR="00923902" w:rsidRDefault="00923902"/>
    <w:p w:rsidR="00923902" w:rsidRDefault="00923902"/>
    <w:p w:rsidR="00923902" w:rsidRDefault="00923902"/>
    <w:p w:rsidR="00923902" w:rsidRDefault="00923902"/>
    <w:p w:rsidR="0061161D" w:rsidRDefault="0061161D"/>
    <w:p w:rsidR="0061161D" w:rsidRDefault="0061161D"/>
    <w:p w:rsidR="0061161D" w:rsidRDefault="0061161D"/>
    <w:p w:rsidR="0061161D" w:rsidRDefault="0061161D"/>
    <w:p w:rsidR="0061161D" w:rsidRDefault="0061161D"/>
    <w:p w:rsidR="0061161D" w:rsidRDefault="0061161D"/>
    <w:p w:rsidR="0061161D" w:rsidRDefault="0061161D"/>
    <w:p w:rsidR="0061161D" w:rsidRDefault="0061161D"/>
    <w:p w:rsidR="0061161D" w:rsidRDefault="0061161D"/>
    <w:p w:rsidR="0061161D" w:rsidRDefault="0061161D"/>
    <w:p w:rsidR="0061161D" w:rsidRDefault="0061161D"/>
    <w:p w:rsidR="0061161D" w:rsidRDefault="0061161D"/>
    <w:p w:rsidR="0061161D" w:rsidRDefault="0061161D" w:rsidP="0061161D">
      <w:pPr>
        <w:autoSpaceDE w:val="0"/>
        <w:autoSpaceDN w:val="0"/>
        <w:adjustRightInd w:val="0"/>
        <w:spacing w:after="0" w:line="240" w:lineRule="auto"/>
        <w:contextualSpacing/>
        <w:jc w:val="center"/>
        <w:rPr>
          <w:rFonts w:asciiTheme="majorHAnsi" w:hAnsiTheme="majorHAnsi" w:cs="Tahoma"/>
          <w:sz w:val="24"/>
          <w:szCs w:val="24"/>
        </w:rPr>
      </w:pPr>
      <w:r>
        <w:rPr>
          <w:rFonts w:asciiTheme="majorHAnsi" w:hAnsiTheme="majorHAnsi" w:cstheme="minorHAnsi"/>
          <w:b/>
          <w:bCs/>
          <w:sz w:val="24"/>
          <w:szCs w:val="24"/>
          <w:u w:val="single"/>
          <w:lang w:val="en-IN" w:eastAsia="en-IN"/>
        </w:rPr>
        <w:t>PUBLIC NOTICE NO.033</w:t>
      </w:r>
    </w:p>
    <w:p w:rsidR="0061161D" w:rsidRDefault="0061161D" w:rsidP="0061161D">
      <w:pPr>
        <w:spacing w:after="0" w:line="240" w:lineRule="auto"/>
        <w:contextualSpacing/>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DTD.15.03.2017</w:t>
      </w:r>
    </w:p>
    <w:p w:rsidR="0061161D" w:rsidRDefault="0061161D" w:rsidP="0061161D">
      <w:pPr>
        <w:spacing w:after="0" w:line="240" w:lineRule="auto"/>
        <w:contextualSpacing/>
        <w:jc w:val="center"/>
        <w:rPr>
          <w:rFonts w:asciiTheme="majorHAnsi" w:hAnsiTheme="majorHAnsi" w:cstheme="minorHAnsi"/>
          <w:b/>
          <w:bCs/>
          <w:sz w:val="24"/>
          <w:szCs w:val="24"/>
          <w:u w:val="single"/>
          <w:lang w:val="en-IN" w:eastAsia="en-IN"/>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6"/>
        </w:rPr>
      </w:pPr>
      <w:r>
        <w:rPr>
          <w:rFonts w:asciiTheme="majorHAnsi" w:hAnsiTheme="majorHAnsi" w:cs="Tahoma"/>
          <w:sz w:val="24"/>
          <w:szCs w:val="26"/>
        </w:rPr>
        <w:t xml:space="preserve">Attention of the Importers, Exporters, General Trade, Port Terminal Operator, Shipping Lines / Shipping Agents, CFSs coming under the jurisdiction of JNCH, Nhava Sheva and all other stakeholders is invited to various other decisions communicated through Public Notices [Public Notice No 161/2016, dated 28.11.2016 (DPD facility to 467 importers), Public Notice No 180/2016, dated 19.12.2016 (DPD facility to another 214 bid importers), Public Notice No 160/2016, dated 29.11.2016 (creation of dedicated “DPD/RMS Facilitation Centre at JNCH), Public Notice No 08/2017, dated 16.01.2017 (Certain clarifications about DPD facility ), Public Notice No 09/2017, dated 16.01.2017, Public Notice No 16/2017, dated 09.02.2017 and other Public Notices issued from time to time for smooth clearing of consignments and to reduce dwell time of import.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6"/>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6"/>
        </w:rPr>
      </w:pPr>
      <w:r>
        <w:rPr>
          <w:rFonts w:asciiTheme="majorHAnsi" w:hAnsiTheme="majorHAnsi" w:cs="Tahoma"/>
          <w:b/>
          <w:bCs/>
          <w:sz w:val="24"/>
          <w:szCs w:val="26"/>
        </w:rPr>
        <w:t xml:space="preserve">2. </w:t>
      </w:r>
      <w:r>
        <w:rPr>
          <w:rFonts w:asciiTheme="majorHAnsi" w:hAnsiTheme="majorHAnsi" w:cs="Tahoma"/>
          <w:sz w:val="24"/>
          <w:szCs w:val="26"/>
        </w:rPr>
        <w:t xml:space="preserve">Public Notice No 16/2017, dated 09.02.2017 among other things also prescribed the procedure for submitting “advance intimation” of at least 72 hours by importer availing DPD Facility to shipping lines as under: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6"/>
        </w:rPr>
      </w:pPr>
    </w:p>
    <w:p w:rsidR="0061161D" w:rsidRDefault="0061161D" w:rsidP="0061161D">
      <w:pPr>
        <w:autoSpaceDE w:val="0"/>
        <w:autoSpaceDN w:val="0"/>
        <w:adjustRightInd w:val="0"/>
        <w:spacing w:after="0" w:line="240" w:lineRule="auto"/>
        <w:contextualSpacing/>
        <w:jc w:val="both"/>
        <w:rPr>
          <w:rFonts w:asciiTheme="majorHAnsi" w:hAnsiTheme="majorHAnsi" w:cs="Tahoma"/>
          <w:b/>
          <w:bCs/>
          <w:sz w:val="24"/>
          <w:szCs w:val="26"/>
        </w:rPr>
      </w:pPr>
      <w:r>
        <w:rPr>
          <w:rFonts w:asciiTheme="majorHAnsi" w:hAnsiTheme="majorHAnsi" w:cs="Tahoma"/>
          <w:b/>
          <w:bCs/>
          <w:sz w:val="24"/>
          <w:szCs w:val="26"/>
        </w:rPr>
        <w:t xml:space="preserve">Procedure for submitting “advance intimation” of at least 72 hours from importer availing DPD Facility to shipping lines.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6"/>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6"/>
        </w:rPr>
        <w:t xml:space="preserve">i. Advance intimation is required to be submitted by importer through their official email id to shipping line at least 72 hours in advance informing the details such as Bill of Lading Number, Details of consignment, DPD Client Code” allotted by Terminal Operator &amp; Preferred CFS and its Code;(will be known as “stacking Code”). In the aforesaid intimation, </w:t>
      </w:r>
      <w:r>
        <w:rPr>
          <w:rFonts w:asciiTheme="majorHAnsi" w:hAnsiTheme="majorHAnsi" w:cs="Tahoma"/>
          <w:sz w:val="24"/>
          <w:szCs w:val="24"/>
        </w:rPr>
        <w:t xml:space="preserve">DPD importer may authorize “Customs Broker” to complete other procedural formalities on his behalf else Importer would be responsible for completing such formalities.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Copy of said advance intimation should be sent to Customs, concerned CFS / Transporter &amp; Terminal Operator.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JNPT is already preparing to logistic solution in the form of “engaging 5-7 major transporters” who will provide transport services to DPD Clients in efficient manner and evacuation of containers from Terminal will take place on best pick up basis. DPD Importers can avail the aforesaid logistic solution as and when available. Whenever such logistic solution is available, DPD Importer will have option to avail the services of any of the aforesaid Transporters and indicate the code of such Transporter as “stacking code”.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iv. DPD Importers have the alternative option to submit “Original copy of Bill of Lading”, duly endorsed to shipping line 72 hour in advance and indicate “stacking Code”. They can obtain advance e-do by submitting “Original copy of Bill of Lading” in advance.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3. </w:t>
      </w:r>
      <w:r>
        <w:rPr>
          <w:rFonts w:asciiTheme="majorHAnsi" w:hAnsiTheme="majorHAnsi" w:cs="Tahoma"/>
          <w:sz w:val="24"/>
          <w:szCs w:val="24"/>
        </w:rPr>
        <w:t xml:space="preserve">There has been requests / representations from DPD Importers, BCHAA, other members from trade &amp; industries to allow also allow “Authorised Customs Broker” to submit aforesaid intimation in addition to Importer.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4. </w:t>
      </w:r>
      <w:r>
        <w:rPr>
          <w:rFonts w:asciiTheme="majorHAnsi" w:hAnsiTheme="majorHAnsi" w:cs="Tahoma"/>
          <w:sz w:val="24"/>
          <w:szCs w:val="24"/>
        </w:rPr>
        <w:t xml:space="preserve">Issue was discussed with CSLA, DPD Importers, BCHAA &amp; other members from trade &amp; industries. It has been decided that 72 Hours advance intimation may be submitted by “Authorised Customs Broker” provided: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Duly scanned copy (colour) of “Authorisation by “DPD Importer” in favour of Customs Broker is attached. This Authorisation should contain “Customs Brokers full name &amp; Address, CHA / CB No, Email address of Importer and email address of Customs Broker along with other requisite details as prescribed vide aforesaid Public Notice No 16/2017, dated 09.02.2017.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The email address as indicated in aforesaid “Authorisation letter” is used by Customs Broker in sending aforesaid Advance Intimation.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Scanned Copy of DPD Permission given by Customs should also be attached.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iv. Copy of said advance intimation should also be sent to DPD Importer (email address as indicated in Authorisation) in addition to Customs, concerned CFS / Transporter &amp; Terminal Operator.</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5. </w:t>
      </w:r>
      <w:r>
        <w:rPr>
          <w:rFonts w:asciiTheme="majorHAnsi" w:hAnsiTheme="majorHAnsi" w:cs="Tahoma"/>
          <w:sz w:val="24"/>
          <w:szCs w:val="24"/>
        </w:rPr>
        <w:t xml:space="preserve">It has been reported by CSLA that there are instances where for the same Container, multiple requests is made by DPD Importer / Customs Brokers. To avoid any such instance, it is being requested / advised that there should not be any instance where for the same Container, multiple contradictory requests are made by DPD Importer / Customs Brokers. If any such case reported by shipping line is found to be correct, DPD Importer may loose DPD Facility beside any other action against CB or Importer under law. Details of such instances may be intimated by shipping lines to Deputy / Assistant Commissioner in charge of DPD Cell, NS-III through email on daily basis (email address: </w:t>
      </w:r>
      <w:hyperlink r:id="rId7" w:history="1">
        <w:r>
          <w:rPr>
            <w:rStyle w:val="Hyperlink"/>
            <w:rFonts w:asciiTheme="majorHAnsi" w:hAnsiTheme="majorHAnsi" w:cs="Tahoma"/>
            <w:sz w:val="24"/>
            <w:szCs w:val="24"/>
          </w:rPr>
          <w:t>appraisingmain.jnch@gov.in</w:t>
        </w:r>
      </w:hyperlink>
      <w:r>
        <w:rPr>
          <w:rFonts w:asciiTheme="majorHAnsi" w:hAnsiTheme="majorHAnsi" w:cs="Tahoma"/>
          <w:sz w:val="24"/>
          <w:szCs w:val="24"/>
        </w:rPr>
        <w:t xml:space="preserve">)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6</w:t>
      </w:r>
      <w:r>
        <w:rPr>
          <w:rFonts w:asciiTheme="majorHAnsi" w:hAnsiTheme="majorHAnsi" w:cs="Tahoma"/>
          <w:sz w:val="24"/>
          <w:szCs w:val="24"/>
        </w:rPr>
        <w:t xml:space="preserve">. This, issues with approval of the Chief Commissioner of Customs, Mumbai Zone-II, JNCH. Action to be taken in terms of decisions taken in this Public Notice should be considered as standing order for the purpose of officers and staff. </w:t>
      </w:r>
    </w:p>
    <w:p w:rsidR="0061161D" w:rsidRDefault="0061161D" w:rsidP="0061161D">
      <w:pPr>
        <w:autoSpaceDE w:val="0"/>
        <w:autoSpaceDN w:val="0"/>
        <w:adjustRightInd w:val="0"/>
        <w:spacing w:after="0" w:line="240" w:lineRule="auto"/>
        <w:contextualSpacing/>
        <w:jc w:val="right"/>
        <w:rPr>
          <w:rFonts w:asciiTheme="majorHAnsi" w:hAnsiTheme="majorHAnsi" w:cs="Tahoma"/>
          <w:sz w:val="24"/>
          <w:szCs w:val="24"/>
        </w:rPr>
      </w:pPr>
      <w:r>
        <w:rPr>
          <w:rFonts w:asciiTheme="majorHAnsi" w:hAnsiTheme="majorHAnsi" w:cs="Tahoma"/>
          <w:sz w:val="24"/>
          <w:szCs w:val="24"/>
        </w:rPr>
        <w:t xml:space="preserve">Sd/- </w:t>
      </w:r>
    </w:p>
    <w:p w:rsidR="0061161D" w:rsidRDefault="0061161D" w:rsidP="0061161D">
      <w:pPr>
        <w:spacing w:after="0" w:line="240" w:lineRule="auto"/>
        <w:contextualSpacing/>
        <w:jc w:val="right"/>
        <w:rPr>
          <w:rFonts w:asciiTheme="majorHAnsi" w:hAnsiTheme="majorHAnsi" w:cs="Calibri-Bold"/>
          <w:b/>
          <w:bCs/>
          <w:sz w:val="24"/>
          <w:szCs w:val="24"/>
          <w:u w:val="single"/>
        </w:rPr>
      </w:pPr>
      <w:r>
        <w:rPr>
          <w:rFonts w:asciiTheme="majorHAnsi" w:hAnsiTheme="majorHAnsi" w:cs="Tahoma"/>
          <w:sz w:val="24"/>
          <w:szCs w:val="24"/>
        </w:rPr>
        <w:t>(SUBHASH AGRAWAL)</w:t>
      </w:r>
    </w:p>
    <w:p w:rsidR="0061161D" w:rsidRDefault="0061161D" w:rsidP="0061161D">
      <w:pPr>
        <w:autoSpaceDE w:val="0"/>
        <w:autoSpaceDN w:val="0"/>
        <w:adjustRightInd w:val="0"/>
        <w:spacing w:after="0" w:line="240" w:lineRule="auto"/>
        <w:contextualSpacing/>
        <w:jc w:val="center"/>
        <w:rPr>
          <w:rFonts w:asciiTheme="majorHAnsi" w:hAnsiTheme="majorHAnsi" w:cs="Tahoma"/>
          <w:sz w:val="24"/>
          <w:szCs w:val="24"/>
        </w:rPr>
      </w:pPr>
      <w:r>
        <w:rPr>
          <w:rFonts w:asciiTheme="majorHAnsi" w:hAnsiTheme="majorHAnsi" w:cstheme="minorHAnsi"/>
          <w:b/>
          <w:bCs/>
          <w:sz w:val="24"/>
          <w:szCs w:val="24"/>
          <w:u w:val="single"/>
          <w:lang w:val="en-IN" w:eastAsia="en-IN"/>
        </w:rPr>
        <w:t>PUBLIC NOTICE NO.034</w:t>
      </w:r>
    </w:p>
    <w:p w:rsidR="0061161D" w:rsidRDefault="0061161D" w:rsidP="0061161D">
      <w:pPr>
        <w:spacing w:after="0" w:line="240" w:lineRule="auto"/>
        <w:contextualSpacing/>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DTD.16.03.2017</w:t>
      </w:r>
    </w:p>
    <w:p w:rsidR="0061161D" w:rsidRDefault="0061161D" w:rsidP="0061161D">
      <w:pPr>
        <w:spacing w:after="0" w:line="240" w:lineRule="auto"/>
        <w:contextualSpacing/>
        <w:jc w:val="center"/>
        <w:rPr>
          <w:rFonts w:asciiTheme="majorHAnsi" w:hAnsiTheme="majorHAnsi" w:cstheme="minorHAnsi"/>
          <w:b/>
          <w:bCs/>
          <w:sz w:val="24"/>
          <w:szCs w:val="24"/>
          <w:u w:val="single"/>
          <w:lang w:val="en-IN" w:eastAsia="en-IN"/>
        </w:rPr>
      </w:pP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All the importers, exporters, customs brokers and the member of the trade are informed that as a trade facilitation measure and in the spirit of ‘Ease of Doing Business’, this Custom House is going to roll out Phase-I of Automation of Refund claims and Manual brand rate drawback claim i.e. Digitization of Refund claims and Manual brand rate drawback claims. The automation process would be rolled out in two phases. First phase will consist of receipt and digitization of refund claims and manual brand rate drawback claim and second phase will be implemented later which will consist of processing, sanctioning and payment of the above mentioned claims.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2. The following category of claims are selected for automation process:-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a) SAD Refund claims,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lastRenderedPageBreak/>
        <w:t xml:space="preserve">b) Custom Duty Refund claims,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c) Refund claims in Consequence of orders of Higher Appellate Forms and Finalization of Provisional Assessments,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d) Supplementary Refund claims,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e) Interest Refund claims,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f) Double Duty Refund claims,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g) Other Specific Situations of Customs Duty Refund claims,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h) Manual Brand Rate Duty Drawback,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i) Supplementary Drawback etc.,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3. The procedure for first phase of receipt and digitization of refund claims and manual brand rate of drawback claims will be as follows: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numPr>
          <w:ilvl w:val="0"/>
          <w:numId w:val="1"/>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(a) A service centre for receipt and digitization of the above mentioned claims will be functional in the EDI building in JNCH and all the above mentioned claims will be submitted to the receiving clerk posted there. Receiving clerk will receive the aforesaid claims and will hand it over to the vendor’s employee for digitization, who will receive fee of Rs.400/- from the Importer/Customs Broker and will issue receipt of the payment of the fee and will mention unique ID for the said claim on the receipt. On production of this receipt, the receiving clerk will give acknowledgement of the claim. Importer/Customs Broker will refer the unique ID in all future correspondences. </w:t>
      </w:r>
    </w:p>
    <w:p w:rsidR="0061161D" w:rsidRDefault="0061161D" w:rsidP="0061161D">
      <w:pPr>
        <w:numPr>
          <w:ilvl w:val="0"/>
          <w:numId w:val="2"/>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(b) The vendor’s employee will digitize the above mentioned claim along with the relevant documents and after mentioning the unique ID on the hard copy of the claim, hand it over back to the receiving clerk who will forward the hard copy of the claim to the concerned section for further processing and existing procedure will continue to be followed.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numPr>
          <w:ilvl w:val="0"/>
          <w:numId w:val="3"/>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(c) If the importer wants to submit additional/supplementary information/documents related to the claim, the same shall be presented to the receiving clerk in the service center who will give acknowledgement of the same and hand it over to the vendor’s employee for digitization. Vendor’s employee will digitize the same in the respective claim based on the unique ID and hand it back to receiving clerk. Receiving clerk will forward the same to the concerned section for further processing. For this digital incorporation of such additional/supplementary information/documents no fee will be collected by the vendor. Any change in the claim will be only with the prior approval of Deputy/Assistant commissioner of Customs of the concerned section.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numPr>
          <w:ilvl w:val="0"/>
          <w:numId w:val="4"/>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(d) In case the hard copy of the claim is mis-placed, copy of claim can be retrieved from the digitize copy of the claim. </w:t>
      </w:r>
    </w:p>
    <w:p w:rsidR="0061161D" w:rsidRDefault="0061161D" w:rsidP="0061161D">
      <w:pPr>
        <w:numPr>
          <w:ilvl w:val="0"/>
          <w:numId w:val="4"/>
        </w:num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4. The procedure for the second phase of automation which will be implemented in due course shall be as follows: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numPr>
          <w:ilvl w:val="0"/>
          <w:numId w:val="5"/>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(a) The vender will develop and provide a web based portal and functionality where Importer will be given access to submit their claims online and upload the relevant documents. The existing facility of service centre will continue. In both the cases unique ID will be generated for each claim. The importer will also be required to submit the hard copy of the claim. The importer will also be given option to submit </w:t>
      </w:r>
      <w:r>
        <w:rPr>
          <w:rFonts w:asciiTheme="majorHAnsi" w:hAnsiTheme="majorHAnsi" w:cs="Bookman Old Style"/>
          <w:sz w:val="24"/>
          <w:szCs w:val="23"/>
        </w:rPr>
        <w:lastRenderedPageBreak/>
        <w:t xml:space="preserve">additional/supplementary information and documents online. Importer will refer to the unique ID allotted to their claim in all future correspondences.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numPr>
          <w:ilvl w:val="0"/>
          <w:numId w:val="6"/>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(b) Based on the uploaded documents completion, deficiency or surplus memo will be generated automatically by system. Each claim while uploading will contain validation points to avoid double claims. There will be two types of deficiencies namely 1) </w:t>
      </w:r>
      <w:r>
        <w:rPr>
          <w:rFonts w:asciiTheme="majorHAnsi" w:hAnsiTheme="majorHAnsi" w:cs="Bookman Old Style"/>
          <w:b/>
          <w:bCs/>
          <w:sz w:val="24"/>
          <w:szCs w:val="23"/>
        </w:rPr>
        <w:t xml:space="preserve">Documental Deficiency </w:t>
      </w:r>
      <w:r>
        <w:rPr>
          <w:rFonts w:asciiTheme="majorHAnsi" w:hAnsiTheme="majorHAnsi" w:cs="Bookman Old Style"/>
          <w:sz w:val="24"/>
          <w:szCs w:val="23"/>
        </w:rPr>
        <w:t xml:space="preserve">which will be generated if claim is not provided with any mandatory documents for a certain type of claim 2) Similarly, a </w:t>
      </w:r>
      <w:r>
        <w:rPr>
          <w:rFonts w:asciiTheme="majorHAnsi" w:hAnsiTheme="majorHAnsi" w:cs="Bookman Old Style"/>
          <w:b/>
          <w:bCs/>
          <w:sz w:val="24"/>
          <w:szCs w:val="23"/>
        </w:rPr>
        <w:t xml:space="preserve">Validation Deficiency </w:t>
      </w:r>
      <w:r>
        <w:rPr>
          <w:rFonts w:asciiTheme="majorHAnsi" w:hAnsiTheme="majorHAnsi" w:cs="Bookman Old Style"/>
          <w:sz w:val="24"/>
          <w:szCs w:val="23"/>
        </w:rPr>
        <w:t xml:space="preserve">will be generated in case of Non-Validation. Deficiency will be removed by either uploading deficient document or providing the reasons for non-applicability.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numPr>
          <w:ilvl w:val="0"/>
          <w:numId w:val="7"/>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(c) Soft copy of the claim along with deficiency memo and unique ID will automatically move to concerned scrutiny officer. The scrutiny officers will scrutinize completeness of applications and send complete applications to the corresponding sanctioning officers. If any deficiency is noticed in applications, deficiency memos will be generated automatically and issued to the applicants. All aforesaid incomplete applications will also be sent to the sanctioning officers and will not come back to scrutiny officers unless the application is complete and deficiency removed. </w:t>
      </w: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p>
    <w:p w:rsidR="0061161D" w:rsidRDefault="0061161D" w:rsidP="0061161D">
      <w:pPr>
        <w:numPr>
          <w:ilvl w:val="0"/>
          <w:numId w:val="8"/>
        </w:num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(d) Sanctioning officers will also scrutinize and verify the claim in system. Claims which will be sanctioned in the system will move to the payment queue automatically for direct payment and for further processing. The scrutiny and sanctioning officer will be given access to view uploaded documents. </w:t>
      </w:r>
    </w:p>
    <w:p w:rsidR="0061161D" w:rsidRDefault="0061161D" w:rsidP="0061161D">
      <w:pPr>
        <w:spacing w:after="0" w:line="240" w:lineRule="auto"/>
        <w:contextualSpacing/>
        <w:jc w:val="both"/>
        <w:rPr>
          <w:rFonts w:asciiTheme="majorHAnsi" w:hAnsiTheme="majorHAnsi" w:cs="Calibri-Bold"/>
          <w:b/>
          <w:bCs/>
          <w:sz w:val="28"/>
          <w:szCs w:val="24"/>
          <w:u w:val="single"/>
        </w:rPr>
      </w:pPr>
    </w:p>
    <w:p w:rsidR="0061161D" w:rsidRDefault="0061161D" w:rsidP="0061161D">
      <w:pPr>
        <w:autoSpaceDE w:val="0"/>
        <w:autoSpaceDN w:val="0"/>
        <w:adjustRightInd w:val="0"/>
        <w:spacing w:after="0" w:line="240" w:lineRule="auto"/>
        <w:contextualSpacing/>
        <w:jc w:val="both"/>
        <w:rPr>
          <w:rFonts w:asciiTheme="majorHAnsi" w:hAnsiTheme="majorHAnsi" w:cs="Bookman Old Style"/>
          <w:sz w:val="24"/>
          <w:szCs w:val="23"/>
        </w:rPr>
      </w:pPr>
      <w:r>
        <w:rPr>
          <w:rFonts w:asciiTheme="majorHAnsi" w:hAnsiTheme="majorHAnsi" w:cs="Bookman Old Style"/>
          <w:sz w:val="24"/>
          <w:szCs w:val="23"/>
        </w:rPr>
        <w:t xml:space="preserve">5. Difficulties, if any, faced in implementation of these instructions may be brought to the notice of the undersigned. </w:t>
      </w:r>
    </w:p>
    <w:p w:rsidR="0061161D" w:rsidRDefault="0061161D" w:rsidP="0061161D">
      <w:pPr>
        <w:autoSpaceDE w:val="0"/>
        <w:autoSpaceDN w:val="0"/>
        <w:adjustRightInd w:val="0"/>
        <w:spacing w:after="0" w:line="240" w:lineRule="auto"/>
        <w:contextualSpacing/>
        <w:jc w:val="right"/>
        <w:rPr>
          <w:rFonts w:asciiTheme="majorHAnsi" w:hAnsiTheme="majorHAnsi" w:cs="Bookman Old Style"/>
          <w:sz w:val="24"/>
          <w:szCs w:val="23"/>
        </w:rPr>
      </w:pPr>
      <w:r>
        <w:rPr>
          <w:rFonts w:asciiTheme="majorHAnsi" w:hAnsiTheme="majorHAnsi" w:cs="Bookman Old Style"/>
          <w:sz w:val="24"/>
          <w:szCs w:val="23"/>
        </w:rPr>
        <w:t xml:space="preserve">-Sd/- </w:t>
      </w:r>
    </w:p>
    <w:p w:rsidR="0061161D" w:rsidRDefault="0061161D" w:rsidP="0061161D">
      <w:pPr>
        <w:spacing w:after="0" w:line="240" w:lineRule="auto"/>
        <w:contextualSpacing/>
        <w:jc w:val="right"/>
        <w:rPr>
          <w:rFonts w:asciiTheme="majorHAnsi" w:hAnsiTheme="majorHAnsi" w:cs="Calibri-Bold"/>
          <w:b/>
          <w:bCs/>
          <w:sz w:val="28"/>
          <w:szCs w:val="24"/>
          <w:u w:val="single"/>
        </w:rPr>
      </w:pPr>
      <w:r>
        <w:rPr>
          <w:rFonts w:asciiTheme="majorHAnsi" w:hAnsiTheme="majorHAnsi" w:cs="Bookman Old Style"/>
          <w:sz w:val="24"/>
          <w:szCs w:val="23"/>
        </w:rPr>
        <w:t>(SHRAWAN KUMAR)</w:t>
      </w:r>
    </w:p>
    <w:p w:rsidR="0061161D" w:rsidRDefault="0061161D" w:rsidP="0061161D">
      <w:pPr>
        <w:autoSpaceDE w:val="0"/>
        <w:autoSpaceDN w:val="0"/>
        <w:adjustRightInd w:val="0"/>
        <w:spacing w:after="0" w:line="240" w:lineRule="auto"/>
        <w:contextualSpacing/>
        <w:jc w:val="center"/>
        <w:rPr>
          <w:rFonts w:asciiTheme="majorHAnsi" w:hAnsiTheme="majorHAnsi" w:cs="Tahoma"/>
          <w:sz w:val="24"/>
          <w:szCs w:val="24"/>
        </w:rPr>
      </w:pPr>
      <w:r>
        <w:rPr>
          <w:rFonts w:asciiTheme="majorHAnsi" w:hAnsiTheme="majorHAnsi" w:cstheme="minorHAnsi"/>
          <w:b/>
          <w:bCs/>
          <w:sz w:val="24"/>
          <w:szCs w:val="24"/>
          <w:u w:val="single"/>
          <w:lang w:val="en-IN" w:eastAsia="en-IN"/>
        </w:rPr>
        <w:t>PUBLIC NOTICE NO.035</w:t>
      </w:r>
    </w:p>
    <w:p w:rsidR="0061161D" w:rsidRDefault="0061161D" w:rsidP="0061161D">
      <w:pPr>
        <w:spacing w:after="0" w:line="240" w:lineRule="auto"/>
        <w:contextualSpacing/>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DTD.17.03.2017</w:t>
      </w:r>
    </w:p>
    <w:p w:rsidR="0061161D" w:rsidRDefault="0061161D" w:rsidP="0061161D">
      <w:pPr>
        <w:spacing w:after="0" w:line="240" w:lineRule="auto"/>
        <w:contextualSpacing/>
        <w:jc w:val="center"/>
        <w:rPr>
          <w:rFonts w:asciiTheme="majorHAnsi" w:hAnsiTheme="majorHAnsi" w:cstheme="minorHAnsi"/>
          <w:b/>
          <w:bCs/>
          <w:sz w:val="24"/>
          <w:szCs w:val="24"/>
          <w:u w:val="single"/>
          <w:lang w:val="en-IN" w:eastAsia="en-IN"/>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Attention of the Importers, Exporters, Port Terminal Operators, Shipping Lines / Shipping Agents, CFSs coming under the jurisdiction of JNCH, Nhava Sheva and all other stakeholders is invited to the Public Notice No. 163/2016 dated 01.12.2016, Public Notice No. 174/2016 dated 15.12.2016 &amp; Public Notice No. 03/2017, dated 09.01.2017 regarding Standard Operating Procedure consequent to commencement of “Document Processing Area” in the Parking Plaza and Gate Automation for Export &amp; Import through NSCIT/NSIGT, GTI &amp; JNPCT.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2. Members from trade exporting goods in Refrigerated containers have again requested for reconsideration of Public Notice 174/2016 dated 15.12.2016 &amp; Public Notice No. 03/2017, dated 09.01.2017, wherein it was clarified that:</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 </w:t>
      </w:r>
    </w:p>
    <w:p w:rsidR="0061161D" w:rsidRDefault="0061161D" w:rsidP="0061161D">
      <w:pPr>
        <w:autoSpaceDE w:val="0"/>
        <w:autoSpaceDN w:val="0"/>
        <w:adjustRightInd w:val="0"/>
        <w:spacing w:after="0" w:line="240" w:lineRule="auto"/>
        <w:contextualSpacing/>
        <w:jc w:val="both"/>
        <w:rPr>
          <w:rFonts w:asciiTheme="majorHAnsi" w:hAnsiTheme="majorHAnsi" w:cs="Tahoma"/>
          <w:b/>
          <w:bCs/>
          <w:sz w:val="24"/>
          <w:szCs w:val="24"/>
        </w:rPr>
      </w:pPr>
      <w:r>
        <w:rPr>
          <w:rFonts w:asciiTheme="majorHAnsi" w:hAnsiTheme="majorHAnsi" w:cs="Tahoma"/>
          <w:b/>
          <w:bCs/>
          <w:sz w:val="24"/>
          <w:szCs w:val="24"/>
        </w:rPr>
        <w:t xml:space="preserve">REFRIGERATED (REEFER) CONTAINERS &amp; CONTAINERS CONTAINING PERISHABLE GOODS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Para 7. </w:t>
      </w:r>
      <w:r>
        <w:rPr>
          <w:rFonts w:asciiTheme="majorHAnsi" w:hAnsiTheme="majorHAnsi" w:cs="Tahoma"/>
          <w:sz w:val="24"/>
          <w:szCs w:val="24"/>
        </w:rPr>
        <w:t xml:space="preserve">There was demand from trade that “Refrigerated Containers” &amp; “Containers containing perishable goods” should be allowed direct port entry without “Let Export Order” as was the earlier system. However, considering the reasons as mentioned in </w:t>
      </w:r>
      <w:r>
        <w:rPr>
          <w:rFonts w:asciiTheme="majorHAnsi" w:hAnsiTheme="majorHAnsi" w:cs="Tahoma"/>
          <w:sz w:val="24"/>
          <w:szCs w:val="24"/>
        </w:rPr>
        <w:lastRenderedPageBreak/>
        <w:t xml:space="preserve">Para 3 above aforesaid demand cannot be accepted. However, in order to ensure expeditious clearances, it is decided that document processing relating to “Refrigerated Containers” &amp; “Containers containing perishable goods” will be done on priority (out of turn). In order to distinguish “Refrigerated Containers” shipping bills trade is advised to clearly indicate </w:t>
      </w:r>
      <w:r>
        <w:rPr>
          <w:rFonts w:asciiTheme="majorHAnsi" w:hAnsiTheme="majorHAnsi" w:cs="Tahoma"/>
          <w:b/>
          <w:bCs/>
          <w:sz w:val="24"/>
          <w:szCs w:val="24"/>
        </w:rPr>
        <w:t xml:space="preserve">“Refrigerated Containers” </w:t>
      </w:r>
      <w:r>
        <w:rPr>
          <w:rFonts w:asciiTheme="majorHAnsi" w:hAnsiTheme="majorHAnsi" w:cs="Tahoma"/>
          <w:sz w:val="24"/>
          <w:szCs w:val="24"/>
        </w:rPr>
        <w:t xml:space="preserve">on top right corner of such shipping bills. Similarly, for shipping bill pertaining to “perishable goods”, trade is advised to clearly indicate </w:t>
      </w:r>
      <w:r>
        <w:rPr>
          <w:rFonts w:asciiTheme="majorHAnsi" w:hAnsiTheme="majorHAnsi" w:cs="Tahoma"/>
          <w:b/>
          <w:bCs/>
          <w:sz w:val="24"/>
          <w:szCs w:val="24"/>
        </w:rPr>
        <w:t xml:space="preserve">“Perishable Goods” </w:t>
      </w:r>
      <w:r>
        <w:rPr>
          <w:rFonts w:asciiTheme="majorHAnsi" w:hAnsiTheme="majorHAnsi" w:cs="Tahoma"/>
          <w:sz w:val="24"/>
          <w:szCs w:val="24"/>
        </w:rPr>
        <w:t xml:space="preserve">on top right corner of such shipping bills.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3. This office has reconsidered the aforesaid request. It has been informed that Port Terminals have not been able to provide adequate facilities for charging of refrigerated containers in the Parking Plazas, though such facilities are available inside the Port Terminals. It was also informed that due to seasonal behavior, there is increase export of commodities in refrigerated containers leading to delay in entry of such Containers inside the Parking Plazas. Although, Public Notice 174/2016 dated 15.12.2016 provided that document processing relating to “Refrigerated Containers” &amp; “Containers containing perishable goods” will be done on priority; yet due to delay in entry of such Containers inside the Parking Plaza, there is delay in completion of entire process. </w:t>
      </w:r>
    </w:p>
    <w:p w:rsidR="0061161D" w:rsidRDefault="0061161D" w:rsidP="0061161D">
      <w:pPr>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4. In view of the above, it is decided that: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As an interim measure, Customs will not insist of physical entry of “Refrigerated Containers” inside the parking plaza;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As soon such “Refrigerated Containers” reaches the Parking Plaza, they may approach the Customs officer inside Parking Plaza for “Registration and Let Export Order (if RMS facilitated)”.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Customs will depute Preventive Officer for verification of seal No, Container No and condition of seal, and if found in order, will process documents for issue of LEO;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iv. However, if shipping bill is not RMS facilitated and selected for examination, refrigerated containers should be routed through CFS for examination and completion of customs procedures.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spacing w:after="0" w:line="240" w:lineRule="auto"/>
        <w:contextualSpacing/>
        <w:jc w:val="both"/>
        <w:rPr>
          <w:rFonts w:asciiTheme="majorHAnsi" w:hAnsiTheme="majorHAnsi" w:cs="Calibri-Bold"/>
          <w:b/>
          <w:bCs/>
          <w:sz w:val="24"/>
          <w:szCs w:val="24"/>
          <w:u w:val="single"/>
        </w:rPr>
      </w:pPr>
      <w:r>
        <w:rPr>
          <w:rFonts w:asciiTheme="majorHAnsi" w:hAnsiTheme="majorHAnsi" w:cs="Tahoma"/>
          <w:sz w:val="24"/>
          <w:szCs w:val="24"/>
        </w:rPr>
        <w:t>5. It is being informed that aforesaid relaxation has been granted only on temporary basis till further orders.</w:t>
      </w:r>
    </w:p>
    <w:p w:rsidR="0061161D" w:rsidRDefault="0061161D" w:rsidP="0061161D">
      <w:pPr>
        <w:spacing w:after="0" w:line="240" w:lineRule="auto"/>
        <w:contextualSpacing/>
        <w:jc w:val="both"/>
        <w:rPr>
          <w:rFonts w:asciiTheme="majorHAnsi" w:hAnsiTheme="majorHAnsi" w:cs="Calibri-Bold"/>
          <w:b/>
          <w:bCs/>
          <w:sz w:val="24"/>
          <w:szCs w:val="24"/>
          <w:u w:val="single"/>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6. This, issues with approval of the Chief Commissioner of Customs, Mumbai Zone-II, JNCH. Action to be taken in terms of decisions taken in this Public Notice should be considered as standing order for the purpose of officers and staff. </w:t>
      </w:r>
    </w:p>
    <w:p w:rsidR="0061161D" w:rsidRDefault="0061161D" w:rsidP="0061161D">
      <w:pPr>
        <w:spacing w:after="0" w:line="240" w:lineRule="auto"/>
        <w:contextualSpacing/>
        <w:jc w:val="right"/>
        <w:rPr>
          <w:rFonts w:asciiTheme="majorHAnsi" w:hAnsiTheme="majorHAnsi" w:cs="Calibri-Bold"/>
          <w:b/>
          <w:bCs/>
          <w:sz w:val="24"/>
          <w:szCs w:val="24"/>
          <w:u w:val="single"/>
        </w:rPr>
      </w:pPr>
      <w:r>
        <w:rPr>
          <w:rFonts w:asciiTheme="majorHAnsi" w:hAnsiTheme="majorHAnsi" w:cs="Tahoma"/>
          <w:sz w:val="24"/>
          <w:szCs w:val="24"/>
        </w:rPr>
        <w:t>(SUBHASH AGRAWAL)</w:t>
      </w:r>
    </w:p>
    <w:p w:rsidR="0061161D" w:rsidRDefault="0061161D" w:rsidP="0061161D">
      <w:pPr>
        <w:autoSpaceDE w:val="0"/>
        <w:autoSpaceDN w:val="0"/>
        <w:adjustRightInd w:val="0"/>
        <w:spacing w:after="0" w:line="240" w:lineRule="auto"/>
        <w:contextualSpacing/>
        <w:jc w:val="center"/>
        <w:rPr>
          <w:rFonts w:asciiTheme="majorHAnsi" w:hAnsiTheme="majorHAnsi" w:cs="Tahoma"/>
          <w:sz w:val="24"/>
          <w:szCs w:val="24"/>
        </w:rPr>
      </w:pPr>
      <w:r>
        <w:rPr>
          <w:rFonts w:asciiTheme="majorHAnsi" w:hAnsiTheme="majorHAnsi" w:cstheme="minorHAnsi"/>
          <w:b/>
          <w:bCs/>
          <w:sz w:val="24"/>
          <w:szCs w:val="24"/>
          <w:u w:val="single"/>
          <w:lang w:val="en-IN" w:eastAsia="en-IN"/>
        </w:rPr>
        <w:t>PUBLIC NOTICE NO.036</w:t>
      </w:r>
    </w:p>
    <w:p w:rsidR="0061161D" w:rsidRDefault="0061161D" w:rsidP="0061161D">
      <w:pPr>
        <w:spacing w:after="0" w:line="240" w:lineRule="auto"/>
        <w:contextualSpacing/>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DTD.15.03.2017</w:t>
      </w:r>
    </w:p>
    <w:p w:rsidR="0061161D" w:rsidRDefault="0061161D" w:rsidP="0061161D">
      <w:pPr>
        <w:spacing w:after="0" w:line="240" w:lineRule="auto"/>
        <w:contextualSpacing/>
        <w:jc w:val="both"/>
        <w:rPr>
          <w:rFonts w:asciiTheme="majorHAnsi" w:hAnsiTheme="majorHAnsi" w:cs="Calibri-Bold"/>
          <w:b/>
          <w:bCs/>
          <w:sz w:val="24"/>
          <w:szCs w:val="24"/>
          <w:u w:val="single"/>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Attention of the Importers, Exporters, General Trade, Port Terminal Operator, Shipping Lines / Shipping Agents, CFSs coming under the jurisdiction of JNCH, Nhava Sheva and all other stakeholders is invited to Board Circular No 55/ 2016-Cus, dated 23rd November, 2016 and various other decisions communicated through various Public </w:t>
      </w:r>
      <w:r>
        <w:rPr>
          <w:rFonts w:asciiTheme="majorHAnsi" w:hAnsiTheme="majorHAnsi" w:cs="Tahoma"/>
          <w:sz w:val="24"/>
          <w:szCs w:val="24"/>
        </w:rPr>
        <w:lastRenderedPageBreak/>
        <w:t xml:space="preserve">Notices issued from time to time for smooth clearing of export consignments and to reduce dwell time of export.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2. The relevant Para of said Board Circular No 55/ 2016-Cus, dated 23rd November, 2016 is reproduced below for reference: </w:t>
      </w:r>
    </w:p>
    <w:p w:rsidR="0061161D" w:rsidRDefault="0061161D" w:rsidP="0061161D">
      <w:pPr>
        <w:autoSpaceDE w:val="0"/>
        <w:autoSpaceDN w:val="0"/>
        <w:adjustRightInd w:val="0"/>
        <w:spacing w:after="0" w:line="240" w:lineRule="auto"/>
        <w:contextualSpacing/>
        <w:jc w:val="both"/>
        <w:rPr>
          <w:rFonts w:asciiTheme="majorHAnsi" w:hAnsiTheme="majorHAnsi" w:cs="Tahoma"/>
          <w:b/>
          <w:bCs/>
          <w:sz w:val="24"/>
          <w:szCs w:val="24"/>
        </w:rPr>
      </w:pPr>
      <w:r>
        <w:rPr>
          <w:rFonts w:asciiTheme="majorHAnsi" w:hAnsiTheme="majorHAnsi" w:cs="Tahoma"/>
          <w:b/>
          <w:bCs/>
          <w:sz w:val="24"/>
          <w:szCs w:val="24"/>
        </w:rPr>
        <w:t xml:space="preserve">Shipping Bill (Exchange Control copy and Export Promotion copy)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After the Appraiser grants LEO (Let Export Order) in the system, printout of the Shipping Bill is generated by the system in triplicate i.e. (i) Customs copy (ii) Exporter's copy and (iii) Exchange Control Copy. The fourth copy namely the Export Promotion Copy is generated after submission of EGM. Further, with regard to Shipping Bill: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numPr>
          <w:ilvl w:val="0"/>
          <w:numId w:val="9"/>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a. detailed copy of the Shipping Bill is not required by the Authorised Dealer. It is enough if a summary copy is printed. </w:t>
      </w:r>
    </w:p>
    <w:p w:rsidR="0061161D" w:rsidRDefault="0061161D" w:rsidP="0061161D">
      <w:pPr>
        <w:numPr>
          <w:ilvl w:val="0"/>
          <w:numId w:val="9"/>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b. CBEC provides copies of digitally signed Shipping Bills to DGFT. </w:t>
      </w:r>
    </w:p>
    <w:p w:rsidR="0061161D" w:rsidRDefault="0061161D" w:rsidP="0061161D">
      <w:pPr>
        <w:numPr>
          <w:ilvl w:val="0"/>
          <w:numId w:val="9"/>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c. The data of Shipping Bill is integrated with EDPMS (Export Data Processing and Monitoring System) of RBI.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In the light of the above, printing of the Exchange Control copy and Export Promotion copy of the Shipping Bill does not serve any useful purpose.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3. </w:t>
      </w:r>
      <w:r>
        <w:rPr>
          <w:rFonts w:asciiTheme="majorHAnsi" w:hAnsiTheme="majorHAnsi" w:cs="Tahoma"/>
          <w:sz w:val="24"/>
          <w:szCs w:val="24"/>
        </w:rPr>
        <w:t xml:space="preserve">It has been represented by Members from trade &amp; industries that consequent to doing away of “Exchange Control Copy” and “Export Promotion Copy” of Shipping Bill vide Board Circular No 55/ 2016-Cus, dated 23rd November, 2016, only two copies of Shipping Bill (SB) remains i.e. (i) Customs Copy and (ii) Exporter Copy. Customs copy of SB is retained by Customs after issue of Let Export Order (LEO). “Exporter Copy of SB” is handed over to Exporter, who in-turn handover the same to shipping line as proof of “Customs clearance”. It was also informed that “Exporter Copy of SB” handed over to shipping line is again submitted to Customs by shipping lines as part of Export General Manifest (EGM).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3. </w:t>
      </w:r>
      <w:r>
        <w:rPr>
          <w:rFonts w:asciiTheme="majorHAnsi" w:hAnsiTheme="majorHAnsi" w:cs="Tahoma"/>
          <w:sz w:val="24"/>
          <w:szCs w:val="24"/>
        </w:rPr>
        <w:t>It has been represented by Members from trade &amp; industries that due to submission of “Exporter copy” of SB to shipping line, no copy of SB is available with them for their record, audit and various other business purposes.</w:t>
      </w:r>
    </w:p>
    <w:p w:rsidR="0061161D" w:rsidRDefault="0061161D" w:rsidP="0061161D">
      <w:pPr>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4. </w:t>
      </w:r>
      <w:r>
        <w:rPr>
          <w:rFonts w:asciiTheme="majorHAnsi" w:hAnsiTheme="majorHAnsi" w:cs="Tahoma"/>
          <w:sz w:val="24"/>
          <w:szCs w:val="24"/>
        </w:rPr>
        <w:t xml:space="preserve">It is noticed that in the case of SB processed in the system (other than manual clearances), all the details relating to clearances including LEO details are available in the system and can be referred to / used. Therefore, no useful purpose is served in retaining “Customs Copy” of SB by Customs.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5. </w:t>
      </w:r>
      <w:r>
        <w:rPr>
          <w:rFonts w:asciiTheme="majorHAnsi" w:hAnsiTheme="majorHAnsi" w:cs="Tahoma"/>
          <w:sz w:val="24"/>
          <w:szCs w:val="24"/>
        </w:rPr>
        <w:t xml:space="preserve">Therefore, it is decided that following procedure should be followed on dealing with Shipping Bill (SB) consequent to doing away of “Exchange Control Copy” and “Export Promotion Copy” of shipping bill vide Board Circular No 55/ 2016-Cus, dated 23rd November, 2016;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Customs will not retain “Customs copy” of SB at the time of issue of LEO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“Customs copy” of SB should be submitted by exporter to shipping line as proof of “Customs clearance”. This “Customs Copy of SB” handed over to shipping line will be submitted by shipping lines to Customs as part of Export General Manifest (EGM)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lastRenderedPageBreak/>
        <w:t xml:space="preserve">iii. Exporter may retain “Exporter Copy” of LEO for their record / future reference / post audit etc.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6</w:t>
      </w:r>
      <w:r>
        <w:rPr>
          <w:rFonts w:asciiTheme="majorHAnsi" w:hAnsiTheme="majorHAnsi" w:cs="Tahoma"/>
          <w:sz w:val="24"/>
          <w:szCs w:val="24"/>
        </w:rPr>
        <w:t xml:space="preserve">. Difficulty, if any may be brought to the knowledge of to Deputy / Assistant Commissioner in charge of Appraising Main (Export) through email / phones (email address: apmainexp@jawaharcustoms.gov.in, Phone No : 022-27244959) </w:t>
      </w: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p>
    <w:p w:rsidR="0061161D" w:rsidRDefault="0061161D" w:rsidP="0061161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7</w:t>
      </w:r>
      <w:r>
        <w:rPr>
          <w:rFonts w:asciiTheme="majorHAnsi" w:hAnsiTheme="majorHAnsi" w:cs="Tahoma"/>
          <w:sz w:val="24"/>
          <w:szCs w:val="24"/>
        </w:rPr>
        <w:t xml:space="preserve">. This, issues with approval of the Chief Commissioner of Customs, Mumbai Zone-II, JNCH. Action to be taken in terms of decisions taken in this Public Notice should be considered as standing order for the purpose of officers and staff. </w:t>
      </w:r>
    </w:p>
    <w:p w:rsidR="0061161D" w:rsidRDefault="0061161D" w:rsidP="0061161D">
      <w:pPr>
        <w:autoSpaceDE w:val="0"/>
        <w:autoSpaceDN w:val="0"/>
        <w:adjustRightInd w:val="0"/>
        <w:spacing w:after="0" w:line="240" w:lineRule="auto"/>
        <w:contextualSpacing/>
        <w:jc w:val="right"/>
        <w:rPr>
          <w:rFonts w:asciiTheme="majorHAnsi" w:hAnsiTheme="majorHAnsi" w:cs="Tahoma"/>
          <w:sz w:val="24"/>
          <w:szCs w:val="24"/>
        </w:rPr>
      </w:pPr>
      <w:r>
        <w:rPr>
          <w:rFonts w:asciiTheme="majorHAnsi" w:hAnsiTheme="majorHAnsi" w:cs="Tahoma"/>
          <w:sz w:val="24"/>
          <w:szCs w:val="24"/>
        </w:rPr>
        <w:t xml:space="preserve">Sd/-17.03.2017 </w:t>
      </w:r>
    </w:p>
    <w:p w:rsidR="0061161D" w:rsidRDefault="0061161D" w:rsidP="0061161D">
      <w:pPr>
        <w:spacing w:after="0" w:line="240" w:lineRule="auto"/>
        <w:contextualSpacing/>
        <w:jc w:val="right"/>
        <w:rPr>
          <w:rFonts w:asciiTheme="majorHAnsi" w:hAnsiTheme="majorHAnsi" w:cs="Calibri-Bold"/>
          <w:b/>
          <w:bCs/>
          <w:sz w:val="24"/>
          <w:szCs w:val="24"/>
          <w:u w:val="single"/>
        </w:rPr>
      </w:pPr>
      <w:r>
        <w:rPr>
          <w:rFonts w:asciiTheme="majorHAnsi" w:hAnsiTheme="majorHAnsi" w:cs="Tahoma"/>
          <w:sz w:val="24"/>
          <w:szCs w:val="24"/>
        </w:rPr>
        <w:t>(SUBHASH AGRAWAL)</w:t>
      </w:r>
    </w:p>
    <w:p w:rsidR="0061161D" w:rsidRDefault="0061161D" w:rsidP="0061161D">
      <w:pPr>
        <w:tabs>
          <w:tab w:val="left" w:pos="4395"/>
        </w:tabs>
        <w:spacing w:after="0" w:line="240" w:lineRule="auto"/>
        <w:contextualSpacing/>
        <w:jc w:val="center"/>
        <w:rPr>
          <w:rFonts w:asciiTheme="majorHAnsi" w:hAnsiTheme="majorHAnsi"/>
          <w:b/>
          <w:color w:val="FF0000"/>
          <w:sz w:val="24"/>
          <w:szCs w:val="24"/>
          <w:u w:val="single"/>
        </w:rPr>
      </w:pPr>
    </w:p>
    <w:p w:rsidR="0061161D" w:rsidRDefault="0061161D" w:rsidP="0061161D">
      <w:pPr>
        <w:tabs>
          <w:tab w:val="left" w:pos="4395"/>
        </w:tabs>
        <w:spacing w:after="0" w:line="240" w:lineRule="auto"/>
        <w:contextualSpacing/>
        <w:jc w:val="center"/>
        <w:rPr>
          <w:rFonts w:asciiTheme="majorHAnsi" w:hAnsiTheme="majorHAnsi"/>
          <w:b/>
          <w:sz w:val="24"/>
          <w:szCs w:val="24"/>
          <w:u w:val="single"/>
        </w:rPr>
      </w:pPr>
    </w:p>
    <w:p w:rsidR="0061161D" w:rsidRDefault="0061161D"/>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p w:rsidR="00054BA6" w:rsidRDefault="00054BA6" w:rsidP="00054BA6">
      <w:pPr>
        <w:tabs>
          <w:tab w:val="left" w:pos="4395"/>
        </w:tabs>
        <w:spacing w:after="0" w:line="240" w:lineRule="auto"/>
        <w:contextualSpacing/>
        <w:jc w:val="center"/>
        <w:rPr>
          <w:rFonts w:asciiTheme="majorHAnsi" w:hAnsiTheme="majorHAnsi"/>
          <w:b/>
          <w:sz w:val="24"/>
          <w:szCs w:val="24"/>
          <w:u w:val="single"/>
        </w:rPr>
      </w:pPr>
      <w:r>
        <w:rPr>
          <w:rFonts w:asciiTheme="majorHAnsi" w:hAnsiTheme="majorHAnsi"/>
          <w:b/>
          <w:sz w:val="24"/>
          <w:szCs w:val="24"/>
          <w:u w:val="single"/>
        </w:rPr>
        <w:t>TRADE FACILITATION NOTICE NO. 02</w:t>
      </w:r>
    </w:p>
    <w:p w:rsidR="00054BA6" w:rsidRDefault="00054BA6" w:rsidP="00054BA6">
      <w:pPr>
        <w:tabs>
          <w:tab w:val="left" w:pos="4395"/>
        </w:tabs>
        <w:spacing w:after="0" w:line="240" w:lineRule="auto"/>
        <w:contextualSpacing/>
        <w:jc w:val="center"/>
        <w:rPr>
          <w:rFonts w:asciiTheme="majorHAnsi" w:hAnsiTheme="majorHAnsi"/>
          <w:b/>
          <w:sz w:val="24"/>
          <w:szCs w:val="24"/>
          <w:u w:val="single"/>
        </w:rPr>
      </w:pPr>
      <w:r>
        <w:rPr>
          <w:rFonts w:asciiTheme="majorHAnsi" w:hAnsiTheme="majorHAnsi"/>
          <w:b/>
          <w:sz w:val="24"/>
          <w:szCs w:val="24"/>
          <w:u w:val="single"/>
        </w:rPr>
        <w:t xml:space="preserve">F.No. S/6-470/2016-17 UBC (X)  </w:t>
      </w:r>
    </w:p>
    <w:p w:rsidR="00054BA6" w:rsidRDefault="00054BA6" w:rsidP="00054BA6">
      <w:pPr>
        <w:tabs>
          <w:tab w:val="left" w:pos="4395"/>
        </w:tabs>
        <w:spacing w:after="0" w:line="240" w:lineRule="auto"/>
        <w:contextualSpacing/>
        <w:jc w:val="center"/>
        <w:rPr>
          <w:rFonts w:asciiTheme="majorHAnsi" w:hAnsiTheme="majorHAnsi"/>
          <w:b/>
          <w:sz w:val="24"/>
          <w:szCs w:val="24"/>
          <w:u w:val="single"/>
        </w:rPr>
      </w:pPr>
      <w:r>
        <w:rPr>
          <w:rFonts w:asciiTheme="majorHAnsi" w:hAnsiTheme="majorHAnsi"/>
          <w:b/>
          <w:sz w:val="24"/>
          <w:szCs w:val="24"/>
          <w:u w:val="single"/>
        </w:rPr>
        <w:t>DTD. 15.03.2017</w:t>
      </w:r>
    </w:p>
    <w:p w:rsidR="00054BA6" w:rsidRDefault="00054BA6" w:rsidP="00054BA6">
      <w:pPr>
        <w:tabs>
          <w:tab w:val="left" w:pos="4395"/>
        </w:tabs>
        <w:spacing w:after="0" w:line="240" w:lineRule="auto"/>
        <w:contextualSpacing/>
        <w:jc w:val="center"/>
        <w:rPr>
          <w:rFonts w:asciiTheme="majorHAnsi" w:hAnsiTheme="majorHAnsi"/>
          <w:b/>
          <w:sz w:val="24"/>
          <w:szCs w:val="24"/>
          <w:u w:val="single"/>
        </w:rPr>
      </w:pPr>
    </w:p>
    <w:p w:rsidR="00054BA6" w:rsidRDefault="00054BA6" w:rsidP="00054BA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It has been brought to notice that Customs Brokers, Steamer Agents, Exporters have to approach the officers for amendment of Vessel Name/ Rotation No. in the Shipping Bills. It is informed that such amendment is not required as the Vessel Name/ Rotation No. gets automatically picked up from the Export General Manifest and amends the same in the system. </w:t>
      </w:r>
    </w:p>
    <w:p w:rsidR="00054BA6" w:rsidRDefault="00054BA6" w:rsidP="00054BA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It is brought to the notice of all the stake holders including Customs Brokers, Steamer Agents, Exporters that henceforth such amendment would not be required to be done. </w:t>
      </w:r>
    </w:p>
    <w:p w:rsidR="00054BA6" w:rsidRDefault="00054BA6" w:rsidP="00054BA6">
      <w:pPr>
        <w:autoSpaceDE w:val="0"/>
        <w:autoSpaceDN w:val="0"/>
        <w:adjustRightInd w:val="0"/>
        <w:spacing w:after="0" w:line="240" w:lineRule="auto"/>
        <w:jc w:val="both"/>
        <w:rPr>
          <w:rFonts w:asciiTheme="majorHAnsi" w:hAnsiTheme="majorHAnsi" w:cs="Times New Roman"/>
          <w:sz w:val="24"/>
          <w:szCs w:val="24"/>
        </w:rPr>
      </w:pPr>
    </w:p>
    <w:p w:rsidR="00054BA6" w:rsidRDefault="00054BA6" w:rsidP="00054BA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Difficulties faced, if any, may be brought to the notice of the undersigned. </w:t>
      </w:r>
    </w:p>
    <w:p w:rsidR="00054BA6" w:rsidRDefault="00054BA6" w:rsidP="00054BA6">
      <w:pPr>
        <w:tabs>
          <w:tab w:val="left" w:pos="8550"/>
          <w:tab w:val="right" w:pos="9720"/>
        </w:tabs>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Sd/- </w:t>
      </w:r>
    </w:p>
    <w:p w:rsidR="00054BA6" w:rsidRDefault="00054BA6" w:rsidP="00054BA6">
      <w:pPr>
        <w:tabs>
          <w:tab w:val="left" w:pos="4395"/>
        </w:tabs>
        <w:spacing w:after="0" w:line="240" w:lineRule="auto"/>
        <w:contextualSpacing/>
        <w:jc w:val="right"/>
        <w:rPr>
          <w:rFonts w:asciiTheme="majorHAnsi" w:hAnsiTheme="majorHAnsi" w:cs="Times New Roman"/>
          <w:sz w:val="24"/>
          <w:szCs w:val="24"/>
        </w:rPr>
      </w:pPr>
      <w:r>
        <w:rPr>
          <w:rFonts w:asciiTheme="majorHAnsi" w:hAnsiTheme="majorHAnsi" w:cs="Times New Roman"/>
          <w:sz w:val="24"/>
          <w:szCs w:val="24"/>
        </w:rPr>
        <w:t>(BALJEET SINGH NUNWAL)</w:t>
      </w:r>
    </w:p>
    <w:p w:rsidR="00054BA6" w:rsidRDefault="00054BA6"/>
    <w:p w:rsidR="00054BA6" w:rsidRDefault="00054BA6"/>
    <w:p w:rsidR="00054BA6" w:rsidRDefault="00054BA6"/>
    <w:p w:rsidR="00054BA6" w:rsidRDefault="00054BA6"/>
    <w:p w:rsidR="00054BA6" w:rsidRDefault="00054BA6"/>
    <w:p w:rsidR="00054BA6" w:rsidRDefault="00054BA6"/>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rsidP="004B07EF">
      <w:pPr>
        <w:pStyle w:val="ListParagraph"/>
        <w:tabs>
          <w:tab w:val="left" w:pos="9900"/>
        </w:tabs>
        <w:spacing w:before="0" w:beforeAutospacing="0" w:after="0" w:afterAutospacing="0"/>
        <w:ind w:left="720"/>
        <w:contextualSpacing/>
        <w:jc w:val="center"/>
        <w:rPr>
          <w:rFonts w:asciiTheme="majorHAnsi" w:hAnsiTheme="majorHAnsi" w:cstheme="minorHAnsi"/>
          <w:b/>
          <w:u w:val="single"/>
          <w:lang w:val="en-IN" w:eastAsia="en-IN"/>
        </w:rPr>
      </w:pPr>
      <w:r>
        <w:rPr>
          <w:rFonts w:asciiTheme="majorHAnsi" w:hAnsiTheme="majorHAnsi" w:cstheme="minorHAnsi"/>
          <w:b/>
          <w:bCs/>
          <w:u w:val="single"/>
          <w:lang w:val="en-IN" w:eastAsia="en-IN"/>
        </w:rPr>
        <w:lastRenderedPageBreak/>
        <w:t>NOTIFICATION NO.22/2017-CUSTOMS (N. T.)</w:t>
      </w:r>
    </w:p>
    <w:p w:rsidR="004B07EF" w:rsidRDefault="004B07EF" w:rsidP="004B07EF">
      <w:pPr>
        <w:spacing w:after="0" w:line="240" w:lineRule="auto"/>
        <w:ind w:right="1123"/>
        <w:contextualSpacing/>
        <w:jc w:val="center"/>
        <w:rPr>
          <w:rFonts w:asciiTheme="majorHAnsi" w:hAnsiTheme="majorHAnsi" w:cstheme="minorHAnsi"/>
          <w:b/>
          <w:sz w:val="24"/>
          <w:szCs w:val="24"/>
          <w:u w:val="single"/>
          <w:lang w:val="en-IN" w:eastAsia="en-IN"/>
        </w:rPr>
      </w:pPr>
      <w:r>
        <w:rPr>
          <w:rFonts w:asciiTheme="majorHAnsi" w:hAnsiTheme="majorHAnsi" w:cstheme="minorHAnsi"/>
          <w:b/>
          <w:sz w:val="24"/>
          <w:szCs w:val="24"/>
          <w:lang w:val="en-IN" w:eastAsia="en-IN"/>
        </w:rPr>
        <w:t xml:space="preserve">                               </w:t>
      </w:r>
      <w:r>
        <w:rPr>
          <w:rFonts w:asciiTheme="majorHAnsi" w:hAnsiTheme="majorHAnsi" w:cstheme="minorHAnsi"/>
          <w:b/>
          <w:sz w:val="24"/>
          <w:szCs w:val="24"/>
          <w:u w:val="single"/>
          <w:lang w:val="en-IN" w:eastAsia="en-IN"/>
        </w:rPr>
        <w:t>DTD. 16.03.2017</w:t>
      </w:r>
    </w:p>
    <w:p w:rsidR="004B07EF" w:rsidRDefault="004B07EF" w:rsidP="004B07EF">
      <w:pPr>
        <w:spacing w:after="0" w:line="240" w:lineRule="auto"/>
        <w:contextualSpacing/>
        <w:jc w:val="both"/>
        <w:rPr>
          <w:rFonts w:asciiTheme="majorHAnsi" w:hAnsiTheme="majorHAnsi"/>
          <w:sz w:val="24"/>
          <w:szCs w:val="24"/>
        </w:rPr>
      </w:pPr>
      <w:r>
        <w:rPr>
          <w:rFonts w:asciiTheme="majorHAnsi" w:hAnsiTheme="majorHAnsi"/>
          <w:sz w:val="24"/>
          <w:szCs w:val="24"/>
        </w:rPr>
        <w:t xml:space="preserve">In exercise of the powers conferred by section 14 of the Customs Act, 1962 (52 of 1962), and in supersession of the notification of the Central Board of Excise and Customs No.14/2017-CUSTOMS (N.T.), dated 2nd March, 2017, except as respects things done or omitted to be done before such supersession, the Central Board of Excise and  Customs hereby determines that the rate of exchange of conversion of each of the foreign currencies specified in column (2) of each of Schedule I and  Schedule II annexed hereto, into Indian currency or </w:t>
      </w:r>
      <w:r>
        <w:rPr>
          <w:rFonts w:asciiTheme="majorHAnsi" w:hAnsiTheme="majorHAnsi"/>
          <w:i/>
          <w:iCs/>
          <w:sz w:val="24"/>
          <w:szCs w:val="24"/>
        </w:rPr>
        <w:t>vice versa,</w:t>
      </w:r>
      <w:r>
        <w:rPr>
          <w:rFonts w:asciiTheme="majorHAnsi" w:hAnsiTheme="majorHAnsi"/>
          <w:sz w:val="24"/>
          <w:szCs w:val="24"/>
        </w:rPr>
        <w:t xml:space="preserve"> shall, with effect from 17th March, 2017, be the rate mentioned against it in the corresponding entry in column (3) thereof, for the purpose of the said section, relating to imported and export goods.</w:t>
      </w:r>
    </w:p>
    <w:p w:rsidR="004B07EF" w:rsidRDefault="004B07EF" w:rsidP="004B07EF">
      <w:pPr>
        <w:spacing w:after="0" w:line="240" w:lineRule="auto"/>
        <w:contextualSpacing/>
        <w:jc w:val="center"/>
        <w:rPr>
          <w:rFonts w:asciiTheme="majorHAnsi" w:hAnsiTheme="majorHAnsi"/>
          <w:sz w:val="24"/>
          <w:szCs w:val="23"/>
        </w:rPr>
      </w:pPr>
    </w:p>
    <w:p w:rsidR="004B07EF" w:rsidRDefault="004B07EF" w:rsidP="004B07EF">
      <w:pPr>
        <w:spacing w:after="0" w:line="240" w:lineRule="auto"/>
        <w:contextualSpacing/>
        <w:jc w:val="center"/>
        <w:rPr>
          <w:rFonts w:asciiTheme="majorHAnsi" w:hAnsiTheme="majorHAnsi"/>
          <w:sz w:val="24"/>
          <w:szCs w:val="23"/>
        </w:rPr>
      </w:pPr>
      <w:r>
        <w:rPr>
          <w:rFonts w:asciiTheme="majorHAnsi" w:hAnsiTheme="majorHAnsi"/>
          <w:sz w:val="24"/>
          <w:szCs w:val="23"/>
        </w:rPr>
        <w:t>SCHEDULE-I</w:t>
      </w:r>
    </w:p>
    <w:tbl>
      <w:tblPr>
        <w:tblStyle w:val="TableGrid"/>
        <w:tblW w:w="0" w:type="auto"/>
        <w:tblInd w:w="0" w:type="dxa"/>
        <w:tblLook w:val="04A0" w:firstRow="1" w:lastRow="0" w:firstColumn="1" w:lastColumn="0" w:noHBand="0" w:noVBand="1"/>
      </w:tblPr>
      <w:tblGrid>
        <w:gridCol w:w="955"/>
        <w:gridCol w:w="2461"/>
        <w:gridCol w:w="2919"/>
        <w:gridCol w:w="2907"/>
      </w:tblGrid>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Sl. No.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Foreign Currency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contextualSpacing/>
              <w:jc w:val="both"/>
              <w:rPr>
                <w:rFonts w:asciiTheme="majorHAnsi" w:hAnsiTheme="majorHAnsi" w:cstheme="minorHAnsi"/>
                <w:sz w:val="24"/>
                <w:szCs w:val="24"/>
              </w:rPr>
            </w:pPr>
            <w:r>
              <w:rPr>
                <w:rFonts w:asciiTheme="majorHAnsi" w:hAnsiTheme="majorHAnsi"/>
                <w:sz w:val="24"/>
                <w:szCs w:val="24"/>
              </w:rPr>
              <w:t xml:space="preserve">Rate of exchange of one unit of foreign currency equivalent to Indian rupees </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(2)</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contextualSpacing/>
              <w:jc w:val="center"/>
              <w:rPr>
                <w:rFonts w:asciiTheme="majorHAnsi" w:hAnsiTheme="majorHAnsi" w:cstheme="minorHAnsi"/>
                <w:sz w:val="24"/>
                <w:szCs w:val="24"/>
              </w:rPr>
            </w:pPr>
            <w:r>
              <w:rPr>
                <w:rFonts w:asciiTheme="majorHAnsi" w:hAnsiTheme="majorHAnsi"/>
                <w:sz w:val="24"/>
                <w:szCs w:val="24"/>
              </w:rPr>
              <w:t>(3)</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cstheme="minorHAnsi"/>
                <w:sz w:val="24"/>
                <w:szCs w:val="24"/>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cstheme="minorHAnsi"/>
                <w:sz w:val="24"/>
                <w:szCs w:val="24"/>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bCs/>
                <w:color w:val="auto"/>
              </w:rPr>
              <w:t>(a)</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bCs/>
                <w:color w:val="auto"/>
              </w:rPr>
              <w:t>(b)</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cstheme="minorHAnsi"/>
                <w:sz w:val="24"/>
                <w:szCs w:val="24"/>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cstheme="minorHAnsi"/>
                <w:sz w:val="24"/>
                <w:szCs w:val="24"/>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bCs/>
                <w:color w:val="auto"/>
              </w:rPr>
              <w:t>(For Imported Goods)</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bCs/>
                <w:color w:val="auto"/>
              </w:rPr>
              <w:t>(For Export Goods)</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Australian Dollar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51.10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49.35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Bahrain Dinar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179.50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167.40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Canadian Dollar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49.85</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48.30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Chinese Yuan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9.65</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9.30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Danish Kroner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9.60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9.25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6.</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EURO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71.30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68.85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7.</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Hong Kong Dollar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8.55</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8.30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contextualSpacing/>
              <w:jc w:val="center"/>
              <w:rPr>
                <w:rFonts w:asciiTheme="majorHAnsi" w:hAnsiTheme="majorHAnsi" w:cstheme="minorHAnsi"/>
                <w:sz w:val="24"/>
                <w:szCs w:val="24"/>
              </w:rPr>
            </w:pPr>
            <w:r>
              <w:rPr>
                <w:rFonts w:asciiTheme="majorHAnsi" w:hAnsiTheme="majorHAnsi" w:cstheme="minorHAnsi"/>
                <w:sz w:val="24"/>
                <w:szCs w:val="24"/>
              </w:rPr>
              <w:t>8.</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Kuwait Dinar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221.10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206.80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9.</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New Zealand Dollar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46.50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44.85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10.</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Norwegian Kroner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7.80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7.55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Pound Sterling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81.55</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78.85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Qatari Riyal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18.55</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17.55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Saudi Arabian Riyal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18.00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16.85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Singapore Dollar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47.20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45.75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South African Rand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5.25</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4.90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16.</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Swedish Kroner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7.50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7.25</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17.</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Swiss Franc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66.50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64.20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18.</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UAE Dirham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18.40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17.20</w:t>
            </w:r>
          </w:p>
        </w:tc>
      </w:tr>
      <w:tr w:rsidR="004B07EF" w:rsidTr="004B07EF">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19.</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rPr>
            </w:pPr>
            <w:r>
              <w:rPr>
                <w:rFonts w:asciiTheme="majorHAnsi" w:hAnsiTheme="majorHAnsi"/>
                <w:color w:val="auto"/>
              </w:rPr>
              <w:t xml:space="preserve">US Dollar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66.20</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rPr>
            </w:pPr>
            <w:r>
              <w:rPr>
                <w:rFonts w:asciiTheme="majorHAnsi" w:hAnsiTheme="majorHAnsi"/>
                <w:color w:val="auto"/>
              </w:rPr>
              <w:t>64.50</w:t>
            </w:r>
          </w:p>
        </w:tc>
      </w:tr>
    </w:tbl>
    <w:p w:rsidR="004B07EF" w:rsidRDefault="004B07EF" w:rsidP="004B07EF">
      <w:pPr>
        <w:spacing w:after="0" w:line="240" w:lineRule="auto"/>
        <w:contextualSpacing/>
        <w:jc w:val="center"/>
        <w:rPr>
          <w:rFonts w:asciiTheme="majorHAnsi" w:hAnsiTheme="majorHAnsi"/>
          <w:sz w:val="24"/>
          <w:szCs w:val="23"/>
        </w:rPr>
      </w:pPr>
      <w:r>
        <w:rPr>
          <w:rFonts w:asciiTheme="majorHAnsi" w:hAnsiTheme="majorHAnsi"/>
          <w:sz w:val="24"/>
          <w:szCs w:val="23"/>
        </w:rPr>
        <w:t>SCHEDULE-II</w:t>
      </w:r>
    </w:p>
    <w:tbl>
      <w:tblPr>
        <w:tblStyle w:val="TableGrid"/>
        <w:tblW w:w="0" w:type="auto"/>
        <w:tblInd w:w="0" w:type="dxa"/>
        <w:tblLook w:val="04A0" w:firstRow="1" w:lastRow="0" w:firstColumn="1" w:lastColumn="0" w:noHBand="0" w:noVBand="1"/>
      </w:tblPr>
      <w:tblGrid>
        <w:gridCol w:w="794"/>
        <w:gridCol w:w="2366"/>
        <w:gridCol w:w="2847"/>
        <w:gridCol w:w="3235"/>
      </w:tblGrid>
      <w:tr w:rsidR="004B07EF" w:rsidTr="004B07EF">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sz w:val="24"/>
                <w:szCs w:val="23"/>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7EF" w:rsidRDefault="004B07EF">
            <w:pPr>
              <w:pStyle w:val="Default"/>
              <w:jc w:val="center"/>
              <w:rPr>
                <w:rFonts w:asciiTheme="majorHAnsi" w:hAnsiTheme="majorHAnsi"/>
                <w:color w:val="auto"/>
                <w:szCs w:val="23"/>
              </w:rPr>
            </w:pPr>
            <w:r>
              <w:rPr>
                <w:rFonts w:asciiTheme="majorHAnsi" w:hAnsiTheme="majorHAnsi"/>
                <w:color w:val="auto"/>
                <w:szCs w:val="23"/>
              </w:rPr>
              <w:t>Foreign Currency</w:t>
            </w:r>
          </w:p>
        </w:tc>
        <w:tc>
          <w:tcPr>
            <w:tcW w:w="6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7EF" w:rsidRDefault="004B07EF">
            <w:pPr>
              <w:contextualSpacing/>
              <w:jc w:val="both"/>
              <w:rPr>
                <w:rFonts w:asciiTheme="majorHAnsi" w:hAnsiTheme="majorHAnsi"/>
                <w:sz w:val="24"/>
                <w:szCs w:val="23"/>
              </w:rPr>
            </w:pPr>
            <w:r>
              <w:rPr>
                <w:rFonts w:asciiTheme="majorHAnsi" w:hAnsiTheme="majorHAnsi"/>
                <w:sz w:val="24"/>
                <w:szCs w:val="23"/>
              </w:rPr>
              <w:t>Rate of exchange of 100 units of foreign currency equivalent to Indian rupees</w:t>
            </w:r>
          </w:p>
        </w:tc>
      </w:tr>
      <w:tr w:rsidR="004B07EF" w:rsidTr="004B07EF">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szCs w:val="23"/>
              </w:rPr>
            </w:pPr>
            <w:r>
              <w:rPr>
                <w:rFonts w:asciiTheme="majorHAnsi" w:hAnsiTheme="majorHAnsi"/>
                <w:color w:val="auto"/>
                <w:szCs w:val="23"/>
              </w:rPr>
              <w:t>(1)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szCs w:val="23"/>
              </w:rPr>
            </w:pPr>
            <w:r>
              <w:rPr>
                <w:rFonts w:asciiTheme="majorHAnsi" w:hAnsiTheme="majorHAnsi"/>
                <w:color w:val="auto"/>
                <w:szCs w:val="23"/>
              </w:rPr>
              <w:t>(2)</w:t>
            </w:r>
          </w:p>
        </w:tc>
        <w:tc>
          <w:tcPr>
            <w:tcW w:w="6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contextualSpacing/>
              <w:jc w:val="center"/>
              <w:rPr>
                <w:rFonts w:asciiTheme="majorHAnsi" w:hAnsiTheme="majorHAnsi"/>
                <w:sz w:val="24"/>
                <w:szCs w:val="23"/>
              </w:rPr>
            </w:pPr>
            <w:r>
              <w:rPr>
                <w:rFonts w:asciiTheme="majorHAnsi" w:hAnsiTheme="majorHAnsi"/>
                <w:sz w:val="24"/>
                <w:szCs w:val="23"/>
              </w:rPr>
              <w:t>(3)</w:t>
            </w:r>
          </w:p>
        </w:tc>
      </w:tr>
      <w:tr w:rsidR="004B07EF" w:rsidTr="004B07EF">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sz w:val="24"/>
                <w:szCs w:val="23"/>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sz w:val="24"/>
                <w:szCs w:val="23"/>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szCs w:val="23"/>
              </w:rPr>
            </w:pPr>
            <w:r>
              <w:rPr>
                <w:rFonts w:asciiTheme="majorHAnsi" w:hAnsiTheme="majorHAnsi"/>
                <w:bCs/>
                <w:color w:val="auto"/>
                <w:szCs w:val="23"/>
              </w:rPr>
              <w:t>(a)</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szCs w:val="23"/>
              </w:rPr>
            </w:pPr>
            <w:r>
              <w:rPr>
                <w:rFonts w:asciiTheme="majorHAnsi" w:hAnsiTheme="majorHAnsi"/>
                <w:bCs/>
                <w:color w:val="auto"/>
                <w:szCs w:val="23"/>
              </w:rPr>
              <w:t>(b)</w:t>
            </w:r>
          </w:p>
        </w:tc>
      </w:tr>
      <w:tr w:rsidR="004B07EF" w:rsidTr="004B07EF">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sz w:val="24"/>
                <w:szCs w:val="23"/>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7EF" w:rsidRDefault="004B07EF">
            <w:pPr>
              <w:contextualSpacing/>
              <w:jc w:val="center"/>
              <w:rPr>
                <w:rFonts w:asciiTheme="majorHAnsi" w:hAnsiTheme="majorHAnsi"/>
                <w:sz w:val="24"/>
                <w:szCs w:val="23"/>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szCs w:val="23"/>
              </w:rPr>
            </w:pPr>
            <w:r>
              <w:rPr>
                <w:rFonts w:asciiTheme="majorHAnsi" w:hAnsiTheme="majorHAnsi"/>
                <w:bCs/>
                <w:color w:val="auto"/>
                <w:szCs w:val="23"/>
              </w:rPr>
              <w:t>(For Imported Goods)</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jc w:val="center"/>
              <w:rPr>
                <w:rFonts w:asciiTheme="majorHAnsi" w:hAnsiTheme="majorHAnsi"/>
                <w:color w:val="auto"/>
                <w:szCs w:val="23"/>
              </w:rPr>
            </w:pPr>
            <w:r>
              <w:rPr>
                <w:rFonts w:asciiTheme="majorHAnsi" w:hAnsiTheme="majorHAnsi"/>
                <w:bCs/>
                <w:color w:val="auto"/>
                <w:szCs w:val="23"/>
              </w:rPr>
              <w:t>(For Export Goods)</w:t>
            </w:r>
          </w:p>
        </w:tc>
      </w:tr>
      <w:tr w:rsidR="004B07EF" w:rsidTr="004B07EF">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1.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Japanese Yen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58.55 </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56.65 </w:t>
            </w:r>
          </w:p>
        </w:tc>
      </w:tr>
      <w:tr w:rsidR="004B07EF" w:rsidTr="004B07EF">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2.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Kenya Shilling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65.75 </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7EF" w:rsidRDefault="004B07EF">
            <w:pPr>
              <w:pStyle w:val="Default"/>
              <w:rPr>
                <w:rFonts w:asciiTheme="majorHAnsi" w:hAnsiTheme="majorHAnsi"/>
                <w:color w:val="auto"/>
                <w:szCs w:val="23"/>
              </w:rPr>
            </w:pPr>
            <w:r>
              <w:rPr>
                <w:rFonts w:asciiTheme="majorHAnsi" w:hAnsiTheme="majorHAnsi"/>
                <w:color w:val="auto"/>
                <w:szCs w:val="23"/>
              </w:rPr>
              <w:t xml:space="preserve">61.45 </w:t>
            </w:r>
          </w:p>
        </w:tc>
      </w:tr>
    </w:tbl>
    <w:p w:rsidR="004B07EF" w:rsidRDefault="004B07EF" w:rsidP="004B07EF">
      <w:pPr>
        <w:autoSpaceDE w:val="0"/>
        <w:autoSpaceDN w:val="0"/>
        <w:adjustRightInd w:val="0"/>
        <w:spacing w:after="0" w:line="240" w:lineRule="auto"/>
        <w:contextualSpacing/>
        <w:jc w:val="right"/>
        <w:rPr>
          <w:rFonts w:asciiTheme="majorHAnsi" w:hAnsiTheme="majorHAnsi" w:cs="Bookman Old Style"/>
          <w:sz w:val="24"/>
          <w:szCs w:val="23"/>
        </w:rPr>
      </w:pPr>
      <w:r>
        <w:rPr>
          <w:rFonts w:asciiTheme="majorHAnsi" w:hAnsiTheme="majorHAnsi" w:cs="Bookman Old Style"/>
          <w:sz w:val="24"/>
          <w:szCs w:val="23"/>
        </w:rPr>
        <w:t xml:space="preserve">[F.No. 468/01/2017-Cus.V] </w:t>
      </w:r>
    </w:p>
    <w:p w:rsidR="004B07EF" w:rsidRDefault="004B07EF" w:rsidP="004B07EF">
      <w:pPr>
        <w:spacing w:after="0" w:line="240" w:lineRule="auto"/>
        <w:contextualSpacing/>
        <w:jc w:val="right"/>
        <w:rPr>
          <w:rFonts w:asciiTheme="majorHAnsi" w:hAnsiTheme="majorHAnsi" w:cstheme="minorHAnsi"/>
          <w:b/>
          <w:sz w:val="32"/>
          <w:szCs w:val="24"/>
          <w:u w:val="single"/>
        </w:rPr>
      </w:pPr>
      <w:r>
        <w:rPr>
          <w:rFonts w:asciiTheme="majorHAnsi" w:hAnsiTheme="majorHAnsi" w:cs="Bookman Old Style"/>
          <w:sz w:val="24"/>
          <w:szCs w:val="23"/>
        </w:rPr>
        <w:t>(Kshitendra Verma)</w:t>
      </w:r>
    </w:p>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p w:rsidR="004B07EF" w:rsidRDefault="004B07EF"/>
    <w:sectPr w:rsidR="004B0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E9EAC"/>
    <w:multiLevelType w:val="hybridMultilevel"/>
    <w:tmpl w:val="FDE6486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B6F2AE2B"/>
    <w:multiLevelType w:val="hybridMultilevel"/>
    <w:tmpl w:val="A975710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BC9DF7F"/>
    <w:multiLevelType w:val="hybridMultilevel"/>
    <w:tmpl w:val="3C9D670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BF7902A5"/>
    <w:multiLevelType w:val="hybridMultilevel"/>
    <w:tmpl w:val="C4303685"/>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E0221ECF"/>
    <w:multiLevelType w:val="hybridMultilevel"/>
    <w:tmpl w:val="B4F3523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102D098"/>
    <w:multiLevelType w:val="hybridMultilevel"/>
    <w:tmpl w:val="92E1D62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12388246"/>
    <w:multiLevelType w:val="hybridMultilevel"/>
    <w:tmpl w:val="673587A5"/>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23DCC630"/>
    <w:multiLevelType w:val="hybridMultilevel"/>
    <w:tmpl w:val="DA81D38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6D643580"/>
    <w:multiLevelType w:val="hybridMultilevel"/>
    <w:tmpl w:val="4503F8F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99"/>
    <w:rsid w:val="00054BA6"/>
    <w:rsid w:val="004B07EF"/>
    <w:rsid w:val="0061161D"/>
    <w:rsid w:val="006C5360"/>
    <w:rsid w:val="00923902"/>
    <w:rsid w:val="009D7904"/>
    <w:rsid w:val="00F32C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9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902"/>
    <w:rPr>
      <w:rFonts w:ascii="Times New Roman" w:hAnsi="Times New Roman" w:cs="Times New Roman" w:hint="default"/>
      <w:color w:val="0000FF"/>
      <w:u w:val="single"/>
    </w:rPr>
  </w:style>
  <w:style w:type="table" w:styleId="TableGrid">
    <w:name w:val="Table Grid"/>
    <w:basedOn w:val="TableNormal"/>
    <w:uiPriority w:val="59"/>
    <w:rsid w:val="0092390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B07EF"/>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9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902"/>
    <w:rPr>
      <w:rFonts w:ascii="Times New Roman" w:hAnsi="Times New Roman" w:cs="Times New Roman" w:hint="default"/>
      <w:color w:val="0000FF"/>
      <w:u w:val="single"/>
    </w:rPr>
  </w:style>
  <w:style w:type="table" w:styleId="TableGrid">
    <w:name w:val="Table Grid"/>
    <w:basedOn w:val="TableNormal"/>
    <w:uiPriority w:val="59"/>
    <w:rsid w:val="0092390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B07EF"/>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36">
      <w:bodyDiv w:val="1"/>
      <w:marLeft w:val="0"/>
      <w:marRight w:val="0"/>
      <w:marTop w:val="0"/>
      <w:marBottom w:val="0"/>
      <w:divBdr>
        <w:top w:val="none" w:sz="0" w:space="0" w:color="auto"/>
        <w:left w:val="none" w:sz="0" w:space="0" w:color="auto"/>
        <w:bottom w:val="none" w:sz="0" w:space="0" w:color="auto"/>
        <w:right w:val="none" w:sz="0" w:space="0" w:color="auto"/>
      </w:divBdr>
    </w:div>
    <w:div w:id="360595326">
      <w:bodyDiv w:val="1"/>
      <w:marLeft w:val="0"/>
      <w:marRight w:val="0"/>
      <w:marTop w:val="0"/>
      <w:marBottom w:val="0"/>
      <w:divBdr>
        <w:top w:val="none" w:sz="0" w:space="0" w:color="auto"/>
        <w:left w:val="none" w:sz="0" w:space="0" w:color="auto"/>
        <w:bottom w:val="none" w:sz="0" w:space="0" w:color="auto"/>
        <w:right w:val="none" w:sz="0" w:space="0" w:color="auto"/>
      </w:divBdr>
    </w:div>
    <w:div w:id="490483178">
      <w:bodyDiv w:val="1"/>
      <w:marLeft w:val="0"/>
      <w:marRight w:val="0"/>
      <w:marTop w:val="0"/>
      <w:marBottom w:val="0"/>
      <w:divBdr>
        <w:top w:val="none" w:sz="0" w:space="0" w:color="auto"/>
        <w:left w:val="none" w:sz="0" w:space="0" w:color="auto"/>
        <w:bottom w:val="none" w:sz="0" w:space="0" w:color="auto"/>
        <w:right w:val="none" w:sz="0" w:space="0" w:color="auto"/>
      </w:divBdr>
    </w:div>
    <w:div w:id="1784957827">
      <w:bodyDiv w:val="1"/>
      <w:marLeft w:val="0"/>
      <w:marRight w:val="0"/>
      <w:marTop w:val="0"/>
      <w:marBottom w:val="0"/>
      <w:divBdr>
        <w:top w:val="none" w:sz="0" w:space="0" w:color="auto"/>
        <w:left w:val="none" w:sz="0" w:space="0" w:color="auto"/>
        <w:bottom w:val="none" w:sz="0" w:space="0" w:color="auto"/>
        <w:right w:val="none" w:sz="0" w:space="0" w:color="auto"/>
      </w:divBdr>
    </w:div>
    <w:div w:id="20335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praisingmain.jnch@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raisingmain.jnch@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balani</dc:creator>
  <cp:lastModifiedBy>kalpana</cp:lastModifiedBy>
  <cp:revision>2</cp:revision>
  <dcterms:created xsi:type="dcterms:W3CDTF">2017-03-22T06:20:00Z</dcterms:created>
  <dcterms:modified xsi:type="dcterms:W3CDTF">2017-03-22T06:20:00Z</dcterms:modified>
</cp:coreProperties>
</file>