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99E4" w14:textId="77777777" w:rsidR="009E6CD9" w:rsidRDefault="009E6CD9" w:rsidP="009E6CD9"/>
    <w:p w14:paraId="3A4240F0" w14:textId="5FD9A72F" w:rsidR="009E6CD9" w:rsidRPr="009E6CD9" w:rsidRDefault="009E6CD9" w:rsidP="009E6CD9">
      <w:pPr>
        <w:rPr>
          <w:rFonts w:ascii="Times New Roman" w:hAnsi="Times New Roman" w:cs="Times New Roman"/>
          <w:b/>
          <w:bCs/>
        </w:rPr>
      </w:pPr>
      <w:r w:rsidRPr="009E6CD9">
        <w:rPr>
          <w:rFonts w:ascii="Times New Roman" w:hAnsi="Times New Roman" w:cs="Times New Roman"/>
          <w:b/>
          <w:bCs/>
        </w:rPr>
        <w:t>Questions for the exporters on possible reasons for the underutilization of AITIGA for ASEAN Countries</w:t>
      </w:r>
    </w:p>
    <w:p w14:paraId="1AC20770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</w:rPr>
        <w:t>Are you aware with the procedure for applying for a Certificate of Origin (COO)?</w:t>
      </w:r>
    </w:p>
    <w:p w14:paraId="20A41BC5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</w:rPr>
        <w:t>Have you faced challenges in interpreting the Rules of Origin for your product category?</w:t>
      </w:r>
    </w:p>
    <w:p w14:paraId="52CA245D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</w:rPr>
        <w:t>Do you find it difficult to trace the origin of raw materials or intermediate inputs?</w:t>
      </w:r>
    </w:p>
    <w:p w14:paraId="2FE1EEC9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  <w:lang w:val="en-US"/>
        </w:rPr>
        <w:t>Whether using a preferential route under FTA results in cost savings compared to standard tariffs. If no, then kindly explain the issues faced.</w:t>
      </w:r>
    </w:p>
    <w:p w14:paraId="0992572F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  <w:lang w:val="en-US"/>
        </w:rPr>
        <w:t>Have you encountered challenges or delays in obtaining Certificates of Origin? If yes, kindly mention the issues.</w:t>
      </w:r>
    </w:p>
    <w:p w14:paraId="4E276876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</w:rPr>
        <w:t>Have you found the process of applying for e-COO under AITIGA to be complicated or unclear?</w:t>
      </w:r>
    </w:p>
    <w:p w14:paraId="58DF4E28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</w:rPr>
        <w:t>Have you experienced conflicting interpretations of rules between Indian and ASEAN authorities?</w:t>
      </w:r>
    </w:p>
    <w:p w14:paraId="09C645D4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</w:rPr>
        <w:t>Have you decided not to use AITIGA due to low duty differentials compared to MFN rates?</w:t>
      </w:r>
    </w:p>
    <w:p w14:paraId="16717BB5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</w:rPr>
        <w:t>Are the costs involved in documentation, compliance, or agency fees too high compared to the benefit?</w:t>
      </w:r>
    </w:p>
    <w:p w14:paraId="1AA3903E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</w:rPr>
        <w:t>Do your ASEAN buyers prefer not to deal with FTA-related documentation (e.g., COO)?</w:t>
      </w:r>
    </w:p>
    <w:p w14:paraId="0FE16AED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</w:rPr>
        <w:t>Have you skipped using AITIGA because the customs clearance process is easier under regular tariffs?</w:t>
      </w:r>
    </w:p>
    <w:p w14:paraId="55CFB5C0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</w:rPr>
        <w:t>Do you face difficulties in accessing reliable or up-to-date information about AITIGA benefits?</w:t>
      </w:r>
    </w:p>
    <w:p w14:paraId="1C7C74AC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</w:rPr>
        <w:t>Have you received inconsistent guidance from logistics providers, agents, or consultants?</w:t>
      </w:r>
    </w:p>
    <w:p w14:paraId="6D94AFDE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</w:rPr>
        <w:t>Have you encountered any technical challenges or downtime while using the eCOO platform?</w:t>
      </w:r>
    </w:p>
    <w:p w14:paraId="7C2BB920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color w:val="000000"/>
          <w:sz w:val="22"/>
          <w:szCs w:val="22"/>
        </w:rPr>
        <w:t>Have past negative experiences (e.g., penalties, audits, delays) made your company reluctant to use AITIGA again?</w:t>
      </w:r>
    </w:p>
    <w:p w14:paraId="346A0CF7" w14:textId="77777777" w:rsidR="009E6CD9" w:rsidRPr="009E6CD9" w:rsidRDefault="009E6CD9" w:rsidP="009E6CD9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38041CF" w14:textId="1179B36A" w:rsidR="009E6CD9" w:rsidRPr="009E6CD9" w:rsidRDefault="009E6CD9" w:rsidP="009E6CD9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9E6CD9">
        <w:rPr>
          <w:b/>
          <w:bCs/>
          <w:sz w:val="22"/>
          <w:szCs w:val="22"/>
        </w:rPr>
        <w:t>Sector-Specific Questions for the exporters on possible reasons for the underutilization of AITIGA for ASEAN Countries</w:t>
      </w:r>
    </w:p>
    <w:p w14:paraId="4A69997C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after="0"/>
        <w:ind w:left="0"/>
        <w:rPr>
          <w:sz w:val="22"/>
          <w:szCs w:val="22"/>
        </w:rPr>
      </w:pPr>
      <w:r w:rsidRPr="009E6CD9">
        <w:rPr>
          <w:sz w:val="22"/>
          <w:szCs w:val="22"/>
        </w:rPr>
        <w:t>Are sanitary/phytosanitary (SPS) requirements in ASEAN markets a greater barrier than tariffs? (Agriculture)</w:t>
      </w:r>
    </w:p>
    <w:p w14:paraId="50320A7B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after="0"/>
        <w:ind w:left="0"/>
        <w:rPr>
          <w:sz w:val="22"/>
          <w:szCs w:val="22"/>
        </w:rPr>
      </w:pPr>
      <w:r w:rsidRPr="009E6CD9">
        <w:rPr>
          <w:sz w:val="22"/>
          <w:szCs w:val="22"/>
        </w:rPr>
        <w:t>Does the time sensitivity of agricultural exports make COO processing impractical? (Agriculture)</w:t>
      </w:r>
    </w:p>
    <w:p w14:paraId="2AC8E1C2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sz w:val="22"/>
          <w:szCs w:val="22"/>
        </w:rPr>
        <w:t>Are you unable to trace origin effectively for farm inputs sourced from multiple smallholders? (Agriculture)</w:t>
      </w:r>
    </w:p>
    <w:p w14:paraId="3271AF42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sz w:val="22"/>
          <w:szCs w:val="22"/>
        </w:rPr>
        <w:t>Are you facing difficulty proving origin due to complex blending or chemical transformation? (Chemicals)</w:t>
      </w:r>
    </w:p>
    <w:p w14:paraId="4E5D4520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sz w:val="22"/>
          <w:szCs w:val="22"/>
        </w:rPr>
        <w:t>Are your goods misaligned with the AITIGA tariff schedule due to ambiguous HS codes? (Chemicals)</w:t>
      </w:r>
    </w:p>
    <w:p w14:paraId="6B31C7C5" w14:textId="77777777" w:rsidR="009E6CD9" w:rsidRPr="009E6CD9" w:rsidRDefault="009E6CD9" w:rsidP="009E6CD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9E6CD9">
        <w:rPr>
          <w:sz w:val="22"/>
          <w:szCs w:val="22"/>
        </w:rPr>
        <w:t>Are technical documentation requirements (safety data, composition details) creating overlap with COO needs? (Chemicals).</w:t>
      </w:r>
    </w:p>
    <w:p w14:paraId="19AA31A6" w14:textId="77777777" w:rsidR="00175BCB" w:rsidRPr="009E6CD9" w:rsidRDefault="00175BCB">
      <w:pPr>
        <w:rPr>
          <w:rFonts w:ascii="Times New Roman" w:hAnsi="Times New Roman" w:cs="Times New Roman"/>
          <w:sz w:val="24"/>
          <w:szCs w:val="24"/>
        </w:rPr>
      </w:pPr>
    </w:p>
    <w:sectPr w:rsidR="00175BCB" w:rsidRPr="009E6CD9" w:rsidSect="009E6CD9">
      <w:pgSz w:w="12240" w:h="15840"/>
      <w:pgMar w:top="247" w:right="144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55817"/>
    <w:multiLevelType w:val="hybridMultilevel"/>
    <w:tmpl w:val="446EC03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27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68B7"/>
    <w:rsid w:val="00071DC7"/>
    <w:rsid w:val="00175BCB"/>
    <w:rsid w:val="003F68B7"/>
    <w:rsid w:val="00877566"/>
    <w:rsid w:val="009E6CD9"/>
    <w:rsid w:val="00B4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FB02"/>
  <w15:chartTrackingRefBased/>
  <w15:docId w15:val="{AC24E48D-D9BA-4873-85EF-07F7962E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CD9"/>
  </w:style>
  <w:style w:type="paragraph" w:styleId="Heading1">
    <w:name w:val="heading 1"/>
    <w:basedOn w:val="Normal"/>
    <w:next w:val="Normal"/>
    <w:link w:val="Heading1Char"/>
    <w:uiPriority w:val="9"/>
    <w:qFormat/>
    <w:rsid w:val="003F6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8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8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8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8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8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8B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8B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8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8B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8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8B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8B7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E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admin</dc:creator>
  <cp:keywords/>
  <dc:description/>
  <cp:lastModifiedBy>Parul Gupta</cp:lastModifiedBy>
  <cp:revision>3</cp:revision>
  <dcterms:created xsi:type="dcterms:W3CDTF">2025-06-09T05:46:00Z</dcterms:created>
  <dcterms:modified xsi:type="dcterms:W3CDTF">2025-07-03T10:57:00Z</dcterms:modified>
</cp:coreProperties>
</file>